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vous proposer ma candidature au stage d'Analyste financier au sein de la Direction Comptable et Financière de la Cipav à Saint Ouen. Contribuer à la gestion d'un portefeuille de placements institutionnel, du suivi macroéconomique jusqu'aux propositions d'arbitrage présentées en Commission de Placement, correspond précisément à la manière dont je veux exercer en finance de marché : avec rigueur, au service d'un engagement de long terme envers des affiliés.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et titulaire de la certification Bloomberg Market Concepts, je me suis formé à l'analyse des marchés, à la gestion de portefeuille et à la sélection de fonds. En m'appuyant sur des outils d'IA, j'ai conçu une stratégie algorithmique atteignant un ratio de Sharpe de 0,91 par rapport au SPY sur dix ans de backtest, puis un système de trading sur Polymarket connecté à huit plateformes avec un suivi du P&amp;L en temps réel, que j'ai arrêté faute d'avantage net. Ces projets m'ont appris à analyser quantitativement une performance, à juger objectivement une stratégie et à construire des outils de suivi et d'aide à la décision fiables.</w:t>
      </w:r>
    </w:p>
    <w:p>
      <w:pPr>
        <w:spacing w:after="200"/>
        <w:jc w:val="both"/>
      </w:pPr>
      <w:r>
        <w:rPr>
          <w:rFonts w:ascii="Arial" w:cs="Arial" w:eastAsia="Arial" w:hAnsi="Arial"/>
          <w:sz w:val="22"/>
          <w:szCs w:val="22"/>
        </w:rPr>
        <w:t xml:space="preserve">J'ai également développé un parcours commercial et entrepreneurial. Chez Mecanicus, j'ai participé à plus de dix transactions de gré à gré comprises entre 50 000 € et 500 000 € sur un inventaire de 3 M€, et je mène depuis 2018 une activité de revente indépendante ayant généré plus de 10 000 € de chiffre d'affaires avec une marge nette d'environ 50 %. Ces expériences m'ont habitué à dialoguer avec des interlocuteurs variés, ce qui me sera utile dans la relation avec les gestionnaires d'actifs et le prestataire externe.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exposer plus en détail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2026-10-31T11:31:06.353Z</dcterms:created>
  <dcterms:modified xsi:type="dcterms:W3CDTF">2026-10-31T11:31:06.353Z</dcterms:modified>
</cp:coreProperties>
</file>

<file path=docProps/custom.xml><?xml version="1.0" encoding="utf-8"?>
<Properties xmlns="http://schemas.openxmlformats.org/officeDocument/2006/custom-properties" xmlns:vt="http://schemas.openxmlformats.org/officeDocument/2006/docPropsVTypes"/>
</file>