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Fund Operations internship at Tikehau Capital in Luxembourg. Supporting the full operational life of alternative funds, from cash monitoring and NAV review to investor reporting and the launch of new vehicles, is the best way I know to understand how private markets actually work behind the investment decision, and Tikehau Capital's multi strategy platform makes Luxembourg a particularly rich place to learn it.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a Master 1 in Finance at ESSCA and hold the Bloomberg Market Concepts certification, and I am comfortable with Excel and structured financial data. Using AI tools, I designed a quantitative equity strategy that achieved a Sharpe ratio of 0.91 against the SPY over a ten year backtest, and I built a Polymarket trading system with AI assistance, tracking live P&amp;L across eight exchanges. These projects trained me to reconcile figures, check every input and build reliable reporting, which is the same rigour that fund controlling, NAV checks and KPI reporting require.</w:t>
      </w:r>
    </w:p>
    <w:p>
      <w:pPr>
        <w:spacing w:after="200"/>
        <w:jc w:val="both"/>
      </w:pPr>
      <w:r>
        <w:rPr>
          <w:rFonts w:ascii="Arial" w:cs="Arial" w:eastAsia="Arial" w:hAnsi="Arial"/>
          <w:sz w:val="22"/>
          <w:szCs w:val="22"/>
        </w:rPr>
        <w:t xml:space="preserve">Alongside my studies, I built a commercial track. At Mecanicus, I assisted on more than ten over the counter transactions between €50k and €500k on a €3M inventory, where cash movements, documentation and delivery had to be followed precisely. Since 2018 I have run an independent resale activity generating more than €10k of revenue at roughly 50% net margin. I am fluent in French and English, which allows me to work easily with investment teams, administrators and depositaries.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pleased to discuss my motivation with the Fund Operations team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2026-10-31T11:31:06.335Z</dcterms:created>
  <dcterms:modified xsi:type="dcterms:W3CDTF">2026-10-31T11:31:06.335Z</dcterms:modified>
</cp:coreProperties>
</file>

<file path=docProps/custom.xml><?xml version="1.0" encoding="utf-8"?>
<Properties xmlns="http://schemas.openxmlformats.org/officeDocument/2006/custom-properties" xmlns:vt="http://schemas.openxmlformats.org/officeDocument/2006/docPropsVTypes"/>
</file>