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d'Assistant desk refinancement au sein de la salle des marchés de la BRED retient toute mon attention. Contribuer à la mesure des coûts de refinancement, au suivi des encours et à la construction d'un outil de pilotage de l'activité d'une salle des marchés correspond à la manière dont je souhaite entrer dans les marchés de capitaux : par la donnée, la liquidité et au plus près des équipes front.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 J'y ai appris à produire des analyses fiables, lisibles et livrées dans les délais.</w:t>
      </w:r>
    </w:p>
    <w:p>
      <w:pPr>
        <w:spacing w:after="200"/>
        <w:jc w:val="both"/>
      </w:pPr>
      <w:r>
        <w:rPr>
          <w:rFonts w:ascii="Arial" w:cs="Arial" w:eastAsia="Arial" w:hAnsi="Arial"/>
          <w:sz w:val="22"/>
          <w:szCs w:val="22"/>
        </w:rPr>
        <w:t xml:space="preserve">Mon Master 1 Finance à l'ESSCA m'a formé aux marchés de taux, à la valorisation et à la gestion des risques. En m'appuyant sur des outils d'IA, j'ai conçu une stratégie algorithmique atteignant un ratio de Sharpe de 0,91 par rapport au SPY sur dix ans de backtest, puis un système de trading en conditions réelles sur Polymarket, connecté à huit plateformes, avec un suivi du P&amp;L en direct. Cette capacité à exploiter des données de plusieurs sources, à les agréger et à produire des statistiques simples et fiables est directement utile pour votre outil de suivi des coûts de refinancement et des encours clients. Je suis titulaire de la certification Bloomberg Market Concepts, et mon niveau d'anglais est solide (TOEIC 975 sur 990).</w:t>
      </w:r>
    </w:p>
    <w:p>
      <w:pPr>
        <w:spacing w:after="200"/>
        <w:jc w:val="both"/>
      </w:pPr>
      <w:r>
        <w:rPr>
          <w:rFonts w:ascii="Arial" w:cs="Arial" w:eastAsia="Arial" w:hAnsi="Arial"/>
          <w:sz w:val="22"/>
          <w:szCs w:val="22"/>
        </w:rPr>
        <w:t xml:space="preserve">Mon parcours a aussi une forte dimension commerciale. Chez Mecanicus, j'ai participé à plus de dix transactions comprises entre 50 000 et 500 000 euros, et j'ai mené pendant plusieurs années une activité de revente indépendante ayant généré plus de 10 000 euros de chiffre d'affaires avec une marge nette proche de 50 %. Je comprends donc la valeur d'un indicateur bien construit pour piloter une activité et ses coûts.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plus en détail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2026-10-31T10:04:38.565Z</dcterms:created>
  <dcterms:modified xsi:type="dcterms:W3CDTF">2026-10-31T10:04:38.565Z</dcterms:modified>
</cp:coreProperties>
</file>

<file path=docProps/custom.xml><?xml version="1.0" encoding="utf-8"?>
<Properties xmlns="http://schemas.openxmlformats.org/officeDocument/2006/custom-properties" xmlns:vt="http://schemas.openxmlformats.org/officeDocument/2006/docPropsVTypes"/>
</file>