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Supporting portfolio managers on direct real estate strategies, from valuation and financing to dispositions, across the Zurich, London and Sydney teams is a rare opportunity to see how asset level decisions become portfolio and investor outcomes. I am applying for the 2027 Internship in Global Real Estate Portfolio Management because it combines the financial modelling I enjoy with an international investment environment.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1 in Finance at ESSCA gave me solid foundations in valuation, portfolio management, fixed income modelling and risk management, and I hold the Bloomberg Market Concepts certification. Using AI tools, I designed a quantitative equity strategy that achieved a Sharpe ratio of 0.91 against the SPY over a ten year backtest, and built a live trading system on Polymarket, which I shut down after measuring that it had no net edge after costs. These projects trained me to build cash flow and sensitivity analyses, to challenge my own assumptions and to use AI responsibly to work faster without losing rigour, which matches what the team expects.</w:t>
      </w:r>
    </w:p>
    <w:p>
      <w:pPr>
        <w:spacing w:after="200"/>
        <w:jc w:val="both"/>
      </w:pPr>
      <w:r>
        <w:rPr>
          <w:rFonts w:ascii="Arial" w:cs="Arial" w:eastAsia="Arial" w:hAnsi="Arial"/>
          <w:sz w:val="22"/>
          <w:szCs w:val="22"/>
        </w:rPr>
        <w:t xml:space="preserve">On the commercial side, I completed more than ten over the counter transactions between 50,000 and 500,000 euros at Mecanicus while following an inventory of 3 million euros, and I have run an independent resale activity since 2018, with more than 10,000 euros of revenue and a net margin close to 50%. These experiences taught me to value an asset, negotiate its price and monitor the numbers behind a decision.</w:t>
      </w:r>
    </w:p>
    <w:p>
      <w:pPr>
        <w:spacing w:after="200"/>
        <w:jc w:val="both"/>
      </w:pPr>
      <w:r>
        <w:rPr>
          <w:rFonts w:ascii="Arial" w:cs="Arial" w:eastAsia="Arial" w:hAnsi="Arial"/>
          <w:sz w:val="22"/>
          <w:szCs w:val="22"/>
        </w:rPr>
        <w:t xml:space="preserve">I am available from February 2027 for six months.</w:t>
      </w:r>
    </w:p>
    <w:p>
      <w:pPr>
        <w:spacing w:after="200"/>
        <w:jc w:val="both"/>
      </w:pPr>
      <w:r>
        <w:rPr>
          <w:rFonts w:ascii="Arial" w:cs="Arial" w:eastAsia="Arial" w:hAnsi="Arial"/>
          <w:sz w:val="22"/>
          <w:szCs w:val="22"/>
        </w:rPr>
        <w:t xml:space="preserve">I would be delighted to discuss my motivation and my profile with you in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2026-10-31T08:41:39.187Z</dcterms:created>
  <dcterms:modified xsi:type="dcterms:W3CDTF">2026-10-31T08:41:39.187Z</dcterms:modified>
</cp:coreProperties>
</file>

<file path=docProps/custom.xml><?xml version="1.0" encoding="utf-8"?>
<Properties xmlns="http://schemas.openxmlformats.org/officeDocument/2006/custom-properties" xmlns:vt="http://schemas.openxmlformats.org/officeDocument/2006/docPropsVTypes"/>
</file>