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Allianz France réunit ce que je recherche dans un premier poste en finance : des investissements de long terme, une exigence réglementaire forte et une vraie réflexion sur la finance durable. Le stage de Chargé d'actifs financiers m'attire parce qu'il place l'analyse des gestionnaires d'actifs, la conformité et les critères ESG au cœur de la décision d'investissement, et c'est avec un réel enthousiasme que je vous soumets ma candidature.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en Master Finance et Data Analytics, m'a donné des bases solides en évaluation de produits dérivés, en modélisation des taux, en gestion de portefeuille, en gestion quantitative des risques et en normes IFRS. En m'appuyant sur des outils d'IA, j'ai conçu une stratégie algorithmique atteignant un ratio de Sharpe de 0,91 par rapport au SPY sur dix ans de backtest, puis un système de trading sur Polymarket que j'ai arrêté faute d'avantage net. Cette discipline, qui consiste à documenter une méthode, à la challenger et à renoncer quand les chiffres ne la justifient pas, est celle que j'apporterai à l'évaluation des gestionnaires d'actifs et au traitement des questionnaires KYC. Je prépare par ailleurs la certification AMF, prévue en décembre 2026, ainsi que la veille réglementaire que ce poste suppose.</w:t>
      </w:r>
    </w:p>
    <w:p>
      <w:pPr>
        <w:spacing w:after="200"/>
        <w:jc w:val="both"/>
      </w:pPr>
      <w:r>
        <w:rPr>
          <w:rFonts w:ascii="Arial" w:cs="Arial" w:eastAsia="Arial" w:hAnsi="Arial"/>
          <w:sz w:val="22"/>
          <w:szCs w:val="22"/>
        </w:rPr>
        <w:t xml:space="preserve">Mon parcours est aussi celui d'un profil rigoureux et autonome. Chez Mecanicus, j'ai participé à plus de dix transactions de gré à gré de 50 000 à 500 000 euros et suivi un stock de 3 millions d'euros, ce qui m'a appris à instruire un dossier, à respecter des procédures et à rendre compte avec précision. Depuis 2018, mon activité indépendante de revente, qui a généré plus de 10 000 euros de chiffre d'affaires avec environ 50 % de marge, m'a enseigné l'organisation, la gestion des risques et le sens des responsabilités. Une expérience de sport de compétition complète ce profil et me prépare à travailler sous pression en équipe.</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sérieux, ma curiosité pour les marchés et mon goût pour l'analyse seront utiles à votre équipe, je serais heureux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2026-10-30T09:40:42.499Z</dcterms:created>
  <dcterms:modified xsi:type="dcterms:W3CDTF">2026-10-30T09:40:42.499Z</dcterms:modified>
</cp:coreProperties>
</file>

<file path=docProps/custom.xml><?xml version="1.0" encoding="utf-8"?>
<Properties xmlns="http://schemas.openxmlformats.org/officeDocument/2006/custom-properties" xmlns:vt="http://schemas.openxmlformats.org/officeDocument/2006/docPropsVTypes"/>
</file>