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Alstom conjugue une dimension industrielle de premier plan et une politique de croissance externe active, ce qui fait de sa direction financière un terrain particulièrement formateur pour qui s'intéresse aux fusions et acquisitions. Étudiant en Master 1 Finance à l'ESSCA, je souhaite rejoindre votre équipe Fusions &amp; Acquisitions en tant que stagiaire pour y participer à l'analyse d'opérations et à la préparation des dossiers de décision. Cette offre correspond exactement à l'exigence et à la rigueur que je recherche pour ma césure.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cours de Derivative Pricing, Fixed Income Modeling, Quantitative Risk Management et IFRS, ainsi que ma certification Bloomberg Market Concepts, me donnent des bases solides en valorisation et en lecture des états financiers. En m'appuyant sur des outils d'IA, j'ai conçu une stratégie algorithmique atteignant un ratio de Sharpe de 0,91 par rapport au SPY sur dix ans de backtest, puis un système de trading sur Polymarket que j'ai arrêté faute d'avantage net, une décision qui illustre ma discipline face aux chiffres.</w:t>
      </w:r>
    </w:p>
    <w:p>
      <w:pPr>
        <w:spacing w:after="200"/>
        <w:jc w:val="both"/>
      </w:pPr>
      <w:r>
        <w:rPr>
          <w:rFonts w:ascii="Arial" w:cs="Arial" w:eastAsia="Arial" w:hAnsi="Arial"/>
          <w:sz w:val="22"/>
          <w:szCs w:val="22"/>
        </w:rPr>
        <w:t xml:space="preserve">Mon parcours est aussi entrepreneurial et commercial. Chez Mecanicus, j'ai participé à plus de dix transactions de gré à gré comprises entre 50 000 et 500 000 euros et suivi un stock de 3 millions d'euros. Comme revendeur indépendant depuis 2018, j'ai généré plus de 10 000 euros de chiffre d'affaires avec une marge nette d'environ 50 %, ce qui m'a appris à négocier, à valoriser un actif et à arbitrer sous contrainte.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ma capacité à travailler avec exigence sous pression, forgée par le sport de compétition, serviront votre équipe, je serais heureux de vous rencontrer pour échanger sur cette mission.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2026-10-30T09:40:35.782Z</dcterms:created>
  <dcterms:modified xsi:type="dcterms:W3CDTF">2026-10-30T09:40:35.782Z</dcterms:modified>
</cp:coreProperties>
</file>

<file path=docProps/custom.xml><?xml version="1.0" encoding="utf-8"?>
<Properties xmlns="http://schemas.openxmlformats.org/officeDocument/2006/custom-properties" xmlns:vt="http://schemas.openxmlformats.org/officeDocument/2006/docPropsVTypes"/>
</file>