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Groupe BPCE occupe une place centrale dans le financement de l'économie française, et la gestion actif passif y est un métier où la rigueur quantitative se met directement au service de la solidité du bilan. Étudiant en Master 1 Finance à l'ESSCA, je souhaite rejoindre votre équipe en tant que Chargé d'études ALM, afin de travailler sur les risques de taux et de liquidité d'un grand groupe bancaire.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m'a donné des bases solides en Fixed Income Modeling, Quantitative Risk Management, Derivative Pricing et IFRS, complétées par la certification Bloomberg Market Concepts. En m'appuyant sur des outils d'IA, j'ai conçu une stratégie algorithmique atteignant un ratio de Sharpe de 0,91 par rapport au SPY sur dix ans de backtest, avec un contrôle du risque selon le régime de marché. J'ai aussi construit un système de trading sur Polymarket, connecté à huit plateformes d'échange, que j'ai arrêté lorsque l'analyse de la performance a montré l'absence d'avantage net. Cette démarche de mesure, de remise en question et de documentation des hypothèses est celle que j'entends appliquer aux études ALM.</w:t>
      </w:r>
    </w:p>
    <w:p>
      <w:pPr>
        <w:spacing w:after="200"/>
        <w:jc w:val="both"/>
      </w:pPr>
      <w:r>
        <w:rPr>
          <w:rFonts w:ascii="Arial" w:cs="Arial" w:eastAsia="Arial" w:hAnsi="Arial"/>
          <w:sz w:val="22"/>
          <w:szCs w:val="22"/>
        </w:rPr>
        <w:t xml:space="preserve">Mon parcours commercial renforce ce profil. Chez Mecanicus, j'ai participé à plus de dix transactions de gré à gré comprises entre 50 000 et 500 000 euros, sur un stock de 3 millions d'euros. Revendeur indépendant de 2018 à 2025, j'ai généré plus de 10 000 euros de chiffre d'affaires avec une marge nette d'environ 50 pour cent. Ces expériences m'ont appris à gérer un risque, à arbitrer sous contrainte et à défendre un chiffre devant un interlocuteur exigeant, avec une pratique du sport de compétition qui m'aide à rester efficace sous pression.</w:t>
      </w:r>
    </w:p>
    <w:p>
      <w:pPr>
        <w:spacing w:after="200"/>
        <w:jc w:val="both"/>
      </w:pPr>
      <w:r>
        <w:rPr>
          <w:rFonts w:ascii="Arial" w:cs="Arial" w:eastAsia="Arial" w:hAnsi="Arial"/>
          <w:sz w:val="22"/>
          <w:szCs w:val="22"/>
        </w:rPr>
        <w:t xml:space="preserve">Je suis disponible à partir de février 2027 pour une durée de six mois.</w:t>
      </w:r>
    </w:p>
    <w:p>
      <w:pPr>
        <w:spacing w:after="200"/>
        <w:jc w:val="both"/>
      </w:pPr>
      <w:r>
        <w:rPr>
          <w:rFonts w:ascii="Arial" w:cs="Arial" w:eastAsia="Arial" w:hAnsi="Arial"/>
          <w:sz w:val="22"/>
          <w:szCs w:val="22"/>
        </w:rPr>
        <w:t xml:space="preserve">Convaincu que mon profil analytique et ma curiosité pour les marchés peuvent apporter une vraie valeur à vos équipes, je serais heureux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2026-10-30T09:40:17.963Z</dcterms:created>
  <dcterms:modified xsi:type="dcterms:W3CDTF">2026-10-30T09:40:17.963Z</dcterms:modified>
</cp:coreProperties>
</file>

<file path=docProps/custom.xml><?xml version="1.0" encoding="utf-8"?>
<Properties xmlns="http://schemas.openxmlformats.org/officeDocument/2006/custom-properties" xmlns:vt="http://schemas.openxmlformats.org/officeDocument/2006/docPropsVTypes"/>
</file>