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Bolloré réunit des activités industrielles et logistiques de premier plan, et son équipe de fusions acquisitions pilote des opérations structurantes au cœur de cet ensemble. Le poste d'Analyste M&amp;A et projets transverses à Puteaux m'attire par la double exigence qu'il porte : la rigueur d'analyse propre aux transactions et la capacité à travailler avec des interlocuteurs variés sur des sujets de nature différente. Étudiant en Master 1 Finance à l'ESSCA School of Management, je souhaite mettre mon année de césure au service d'une équipe où chaque dossier a un impact concret.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m'a donné des bases solides en évaluation, avec des cours de Derivative Pricing, Fixed Income Modeling, Portfolio Management et IFRS, complétées par la certification Bloomberg Market Concepts. En m'appuyant sur des outils d'IA, j'ai conçu une stratégie algorithmique atteignant un ratio de Sharpe de 0,91 par rapport au SPY sur dix ans de backtest, puis un système de trading sur Polymarket connecté à huit plateformes d'échange, que j'ai arrêté faute d'avantage net après analyse de ses résultats. Ces projets m'ont appris à structurer une analyse, à tester une hypothèse et à accepter ses conclusions, y compris lorsqu'elles sont défavorables.</w:t>
      </w:r>
    </w:p>
    <w:p>
      <w:pPr>
        <w:spacing w:after="200"/>
        <w:jc w:val="both"/>
      </w:pPr>
      <w:r>
        <w:rPr>
          <w:rFonts w:ascii="Arial" w:cs="Arial" w:eastAsia="Arial" w:hAnsi="Arial"/>
          <w:sz w:val="22"/>
          <w:szCs w:val="22"/>
        </w:rPr>
        <w:t xml:space="preserve">Mon parcours commercial renforce cette approche. Chez Mecanicus, j'ai participé à plus de dix transactions de gré à gré comprises entre 50 000 et 500 000 euros, pour un stock de trois millions d'euros, ce qui m'a appris à négocier et à instruire un dossier avec des interlocuteurs exigeants. Parallèlement, mon activité indépendante de revente, menée de 2018 à 2025, a généré plus de 10 000 euros de chiffre d'affaires avec une marge nette d'environ 50 %, et m'a donné le sens de la rentabilité et de l'autonomie. Mon passé de sportif de compétition m'aide enfin à garder de la constance sous pression.</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sens du concret pourraient apporter à votre équipe,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2026-10-30T09:40:33.998Z</dcterms:created>
  <dcterms:modified xsi:type="dcterms:W3CDTF">2026-10-30T09:40:33.998Z</dcterms:modified>
</cp:coreProperties>
</file>

<file path=docProps/custom.xml><?xml version="1.0" encoding="utf-8"?>
<Properties xmlns="http://schemas.openxmlformats.org/officeDocument/2006/custom-properties" xmlns:vt="http://schemas.openxmlformats.org/officeDocument/2006/docPropsVTypes"/>
</file>