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Passionné par les marchés actions et par la gestion d'actifs, je souhaite rejoindre CDC Croissance en tant qu'Assistant gérant actions dans le cadre d'un stage de six mois à Paris. Gérer des portefeuilles actions pour le compte d'investisseurs de long terme, dans un cadre exigeant et rigoureux, correspond exactement à la voie que je souhaite construire.</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à l'ESSCA, en Master Finance, m'a apporté de solides bases en gestion de portefeuille, évaluation des produits dérivés, modélisation des taux et gestion quantitative des risques. En m'appuyant sur des outils d'IA, j'ai conçu une stratégie algorithmique atteignant un ratio de Sharpe de 0,91 par rapport au SPY sur dix ans de backtest, ainsi qu'un système de trading sur Polymarket que j'ai arrêté faute d'avantage net, ce qui m'a appris à remettre en cause mes hypothèses avec discipline. Je suis titulaire de la certification Bloomberg Market Concepts et j'ai obtenu 975 sur 990 au TOEIC.</w:t>
      </w:r>
    </w:p>
    <w:p>
      <w:pPr>
        <w:spacing w:after="200"/>
        <w:jc w:val="both"/>
      </w:pPr>
      <w:r>
        <w:rPr>
          <w:rFonts w:ascii="Arial" w:cs="Arial" w:eastAsia="Arial" w:hAnsi="Arial"/>
          <w:sz w:val="22"/>
          <w:szCs w:val="22"/>
        </w:rPr>
        <w:t xml:space="preserve">Mon parcours est aussi commercial et entrepreneurial. Chez Mecanicus, j'ai conclu plus de dix transactions de gré à gré entre 50 000 et 500 000 euros et suivi un stock de 3 millions d'euros. Parallèlement, mon activité de revendeur indépendant, menée de 2018 à 2025, a généré plus de 10 000 euros de chiffre d'affaires avec une marge nette d'environ 50 %. Ces expériences m'ont donné le sens de l'initiative, de la prise de décision sous contrainte et du suivi rigoureux des chiffres.</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Je serais ravi d'échanger avec vous lors d'un entretien afin de vous présenter ma motivation et ma capacité à contribuer rapidement aux travaux de l'équipe gestion actions.</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2026-10-30T09:40:21.969Z</dcterms:created>
  <dcterms:modified xsi:type="dcterms:W3CDTF">2026-10-30T09:40:21.969Z</dcterms:modified>
</cp:coreProperties>
</file>

<file path=docProps/custom.xml><?xml version="1.0" encoding="utf-8"?>
<Properties xmlns="http://schemas.openxmlformats.org/officeDocument/2006/custom-properties" xmlns:vt="http://schemas.openxmlformats.org/officeDocument/2006/docPropsVTypes"/>
</file>