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Fund Analyst, External Multi Management internship at Candriam in Paris. Selecting and monitoring third party funds sits at the crossroads of rigorous analysis and market judgement, and Candriam's reputation in sustainable and multi asset investing makes it the place where I want to build my first experience in asset management.</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 This work has trained me to compare investment solutions, question their cost and risk profile, and explain a recommendation clearly.</w:t>
      </w:r>
    </w:p>
    <w:p>
      <w:pPr>
        <w:spacing w:after="200"/>
        <w:jc w:val="both"/>
      </w:pPr>
      <w:r>
        <w:rPr>
          <w:rFonts w:ascii="Arial" w:cs="Arial" w:eastAsia="Arial" w:hAnsi="Arial"/>
          <w:sz w:val="22"/>
          <w:szCs w:val="22"/>
        </w:rPr>
        <w:t xml:space="preserve">My training at ESSCA in Paris, in a Master in Finance with courses in Portfolio Management, Fixed Income Modeling, Quantitative Risk Management and Derivative Pricing, gives me the framework to assess funds on performance, risk and consistency. Using AI tools, I designed a quantitative equity strategy that achieved a Sharpe ratio of 0.91 against the SPY over a ten year backtest, and I built a trading system on Polymarket across eight exchanges, which I shut down once it showed no net edge. Both projects taught me to judge results against risk and to stop when the numbers do not hold. I also hold Bloomberg Market Concepts certification and a TOEIC score of 975 out of 990.</w:t>
      </w:r>
    </w:p>
    <w:p>
      <w:pPr>
        <w:spacing w:after="200"/>
        <w:jc w:val="both"/>
      </w:pPr>
      <w:r>
        <w:rPr>
          <w:rFonts w:ascii="Arial" w:cs="Arial" w:eastAsia="Arial" w:hAnsi="Arial"/>
          <w:sz w:val="22"/>
          <w:szCs w:val="22"/>
        </w:rPr>
        <w:t xml:space="preserve">Beyond the classroom, I completed a sales internship at Mecanicus, where I closed more than ten over the counter transactions between 50k and 500k euros and handled a 3M euro inventory. Since 2018 I have also run an independent reselling activity that generated over 10k euros in revenue at a net margin of around 50 percent. These experiences taught me to negotiate, to manage risk with my own capital and to communicate with demanding counterparties, qualities useful when dialoguing with fund managers.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how I can contribute to the External Multi Management team and would welcome the opportunity to meet you.</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2026-10-30T09:40:48.082Z</dcterms:created>
  <dcterms:modified xsi:type="dcterms:W3CDTF">2026-10-30T09:40:48.083Z</dcterms:modified>
</cp:coreProperties>
</file>

<file path=docProps/custom.xml><?xml version="1.0" encoding="utf-8"?>
<Properties xmlns="http://schemas.openxmlformats.org/officeDocument/2006/custom-properties" xmlns:vt="http://schemas.openxmlformats.org/officeDocument/2006/docPropsVTypes"/>
</file>