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poste de Chargé Finance, Liquidité Groupe et Cash Management au sein de Carrefour à Massy correspond précisément à ce que je recherche : un environnement où la gestion de la liquidité, du cash et des risques financiers a un impact direct sur la performance d'un groupe international. Étudiant en Master 1 Finance à l'ESSCA et en année de césure, je souhaite rejoindre votre équipe pour un stage à partir de janvier 2027, afin de mettre mes connaissances en marchés et en gestion financière au service des enjeux de trésorerie du Groupe.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avec des cours en Fixed Income Modeling, Quantitative Risk Management, Derivative Pricing et Portfolio Management, complète cette expérience et m'a donné une bonne compréhension des taux, du risque et de la gestion de portefeuille. En m'appuyant sur des outils d'IA, j'ai conçu une stratégie algorithmique atteignant un ratio de Sharpe de 0,91 par rapport au SPY sur dix ans de backtest, ainsi qu'un système de trading sur Polymarket connecté à huit plateformes, arrêté faute d'avantage net. Ces projets m'ont appris à suivre des positions en temps réel, à mesurer le risque et à remettre en cause un modèle quand les chiffres l'exigent. Je suis également titulaire de la certification Bloomberg Market Concepts et du TOEIC (975/990).</w:t>
      </w:r>
    </w:p>
    <w:p>
      <w:pPr>
        <w:spacing w:after="200"/>
        <w:jc w:val="both"/>
      </w:pPr>
      <w:r>
        <w:rPr>
          <w:rFonts w:ascii="Arial" w:cs="Arial" w:eastAsia="Arial" w:hAnsi="Arial"/>
          <w:sz w:val="22"/>
          <w:szCs w:val="22"/>
        </w:rPr>
        <w:t xml:space="preserve">Mon parcours commercial et entrepreneurial renforce ce profil. Chez Mecanicus, j'ai participé à plus de dix transactions de gré à gré comprises entre 50 000 et 500 000 euros, pour un stock de 3 millions d'euros. Parallèlement, j'ai géré depuis 2018 une activité de revente indépendante ayant généré plus de 10 000 euros de chiffre d'affaires avec une marge nette d'environ 50 %. J'y ai acquis le sens de la gestion du cash, de la rigueur et de la rapidité d'exécution, des qualités utiles pour piloter la liquidité d'un groupe.</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Motivé, rigoureux et habitué à travailler sous pression grâce à mon passé de sportif de compétition, je serais heureux de vous exposer de vive voix ma motivation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2026-10-30T09:40:24.543Z</dcterms:created>
  <dcterms:modified xsi:type="dcterms:W3CDTF">2026-10-30T09:40:24.543Z</dcterms:modified>
</cp:coreProperties>
</file>

<file path=docProps/custom.xml><?xml version="1.0" encoding="utf-8"?>
<Properties xmlns="http://schemas.openxmlformats.org/officeDocument/2006/custom-properties" xmlns:vt="http://schemas.openxmlformats.org/officeDocument/2006/docPropsVTypes"/>
</file>