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Covéa Finance conjugue la rigueur d'une gestion de conviction et l'exigence d'une mesure de la performance irréprochable, ce qui est précisément l'environnement dans lequel je souhaite apprendre. Étudiant en Master 1 Finance à l'ESSCA et en année de césure, je candidate au poste de Stagiaire Chargé de Performance à Paris, car comprendre d'où vient la performance d'un portefeuille et la restituer clairement aux gérants est, à mes yeux, le meilleur point d'entrée vers les métiers de la gestion d'actifs.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couvre la valorisation de produits dérivés, la modélisation de produits de taux, le calcul stochastique, la gestion des risques quantitative et la gestion de portefeuille, complétées par la certification Bloomberg Market Concepts et un TOEIC de 975/990. En m'appuyant sur des outils d'IA, j'ai conçu une stratégie algorithmique atteignant un ratio de Sharpe de 0,91 par rapport au SPY sur dix ans de backtest, ce qui m'a appris à lire une performance ajustée du risque et à en questionner les sources. J'ai aussi construit avec l'aide de l'IA un système de trading sur Polymarket suivi en P&amp;L en temps réel, que j'ai arrêté faute d'avantage net, une décision qui illustre ma rigueur dans la lecture des résultats.</w:t>
      </w:r>
    </w:p>
    <w:p>
      <w:pPr>
        <w:spacing w:after="200"/>
        <w:jc w:val="both"/>
      </w:pPr>
      <w:r>
        <w:rPr>
          <w:rFonts w:ascii="Arial" w:cs="Arial" w:eastAsia="Arial" w:hAnsi="Arial"/>
          <w:sz w:val="22"/>
          <w:szCs w:val="22"/>
        </w:rPr>
        <w:t xml:space="preserve">Mon parcours commercial renforce ce goût du chiffre et de la précision. Chez Mecanicus, j'ai réalisé plus de dix transactions de gré à gré de 50 000 à 500 000 euros et suivi un stock de 3 millions d'euros. Depuis 2018, mon activité de revendeur indépendant m'a permis de générer plus de 10 000 euros de chiffre d'affaires avec environ 50 % de marge nette, en pilotant moi même achats, prix et résultats.</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sens de l'analyse, ma rigueur et ma capacité à travailler avec des outils modernes seraient utiles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2026-10-30T09:40:24.731Z</dcterms:created>
  <dcterms:modified xsi:type="dcterms:W3CDTF">2026-10-30T09:40:24.732Z</dcterms:modified>
</cp:coreProperties>
</file>

<file path=docProps/custom.xml><?xml version="1.0" encoding="utf-8"?>
<Properties xmlns="http://schemas.openxmlformats.org/officeDocument/2006/custom-properties" xmlns:vt="http://schemas.openxmlformats.org/officeDocument/2006/docPropsVTypes"/>
</file>