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capital innovation à impact se situe à la croisée de ce qui m'attire le plus en finance : l'analyse rigoureuse d'entreprises jeunes, l'évaluation du risque et la conviction qu'un investissement peut aussi produire un effet concret. Votre offre de stage d'Analyste Venture Capital à impact au sein de Crédit Mutuel Arkéa, à Paris, correspond précisément à ce que je recherche, et c'est avec un réel enthousiasme que je vous adresse ma candidature.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in Finance à l'ESSCA, autour de Derivative Pricing, Fixed Income Modeling, Quantitative Risk Management et Portfolio Management, m'a donné des bases solides pour analyser des profils de risque et de valorisation. En m'appuyant sur des outils d'IA, j'ai conçu une stratégie algorithmique atteignant un ratio de Sharpe de 0,91 par rapport au SPY sur dix ans de backtest, puis un système de trading sur Polymarket relié à huit plateformes d'échange, arrêté faute d'avantage net démontré. Cette démarche m'a appris à formuler une hypothèse, à la tester sans complaisance et à renoncer lorsque les chiffres ne la soutiennent pas, un réflexe utile pour passer au crible des dossiers d'investissement et rédiger des notes d'analyse.</w:t>
      </w:r>
    </w:p>
    <w:p>
      <w:pPr>
        <w:spacing w:after="200"/>
        <w:jc w:val="both"/>
      </w:pPr>
      <w:r>
        <w:rPr>
          <w:rFonts w:ascii="Arial" w:cs="Arial" w:eastAsia="Arial" w:hAnsi="Arial"/>
          <w:sz w:val="22"/>
          <w:szCs w:val="22"/>
        </w:rPr>
        <w:t xml:space="preserve">Mon parcours est aussi entrepreneurial et commercial. Chez Mecanicus, j'ai participé à plus de dix transactions de gré à gré de 50 000 à 500 000 euros, pour un stock de 3 millions d'euros. Parallèlement, mon activité de revendeur indépendant, menée de 2018 à 2025, a généré plus de 10 000 euros de chiffre d'affaires avec une marge d'environ 50 %. J'y ai appris à sourcer, négocier et arbitrer avec peu de moyens, ce qui me rend sensible aux enjeux auxquels font face les jeunes entreprises que vous accompagnez.</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profil analytique et mon goût pour l'investissement à impact peuvent contribuer à votre équipe,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2026-10-30T09:40:31.055Z</dcterms:created>
  <dcterms:modified xsi:type="dcterms:W3CDTF">2026-10-30T09:40:31.055Z</dcterms:modified>
</cp:coreProperties>
</file>

<file path=docProps/custom.xml><?xml version="1.0" encoding="utf-8"?>
<Properties xmlns="http://schemas.openxmlformats.org/officeDocument/2006/custom-properties" xmlns:vt="http://schemas.openxmlformats.org/officeDocument/2006/docPropsVTypes"/>
</file>