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La Banque Postale occupe une place singulière dans le paysage bancaire français, avec une présence forte auprès des grandes entreprises et des acteurs publics. Le stage d'Analyste Crédit Grandes Entreprises à Paris correspond exactement à mon projet : apprendre à lire un bilan, structurer une analyse de risque et formuler une recommandation de crédit argumentée. Je vous adresse donc ma candidature avec une réelle motivation.</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en Master Finance, m'a apporté des bases solides en Fixed Income Modeling, Quantitative Risk Management, Derivative Pricing et IFRS, utiles pour analyser la solvabilité d'un emprunteur. En m'appuyant sur des outils d'IA, j'ai conçu une stratégie algorithmique atteignant un ratio de Sharpe de 0,91 par rapport au SPY sur dix ans de backtest, puis un système de trading sur Polymarket que j'ai arrêté faute d'avantage net, ce qui m'a appris à remettre en question mes hypothèses face aux données. Je suis certifié Bloomberg Market Concepts, mon TOEIC est de 975/990 et ma certification AMF est prévue en décembre 2026.</w:t>
      </w:r>
    </w:p>
    <w:p>
      <w:pPr>
        <w:spacing w:after="200"/>
        <w:jc w:val="both"/>
      </w:pPr>
      <w:r>
        <w:rPr>
          <w:rFonts w:ascii="Arial" w:cs="Arial" w:eastAsia="Arial" w:hAnsi="Arial"/>
          <w:sz w:val="22"/>
          <w:szCs w:val="22"/>
        </w:rPr>
        <w:t xml:space="preserve">Mon parcours est aussi entrepreneurial. Chez Mecanicus, j'ai participé à plus de dix transactions de gré à gré comprises entre 50 000 et 500 000 euros, avec un stock de 3 millions d'euros à suivre. Depuis 2018, mon activité de revendeur indépendant a généré plus de 10 000 euros de chiffre d'affaires pour une marge nette d'environ 50 %. Ces expériences m'ont donné le sens du risque, de la contrepartie et de la rigueur dans le suivi des chiffres.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d'échanger avec vous afin de vous exposer plus en détail ma motivation et ma capacité à contribuer rapidement aux travaux de votre équipe.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2026-10-30T09:40:25.967Z</dcterms:created>
  <dcterms:modified xsi:type="dcterms:W3CDTF">2026-10-30T09:40:25.967Z</dcterms:modified>
</cp:coreProperties>
</file>

<file path=docProps/custom.xml><?xml version="1.0" encoding="utf-8"?>
<Properties xmlns="http://schemas.openxmlformats.org/officeDocument/2006/custom-properties" xmlns:vt="http://schemas.openxmlformats.org/officeDocument/2006/docPropsVTypes"/>
</file>