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Off Cycle Internship in Private Credit within the Principal Finance team of Macquarie Capital in Paris. Macquarie's European Private Credit platform combines rigorous credit analysis with live transaction execution, and this is exactly the environment in which I want to build my career. Evaluating businesses, structuring risk and working alongside a deal team from day one is what draws me to this role.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training in the Master in Finance at ESSCA Paris, with courses in Fixed Income Modeling, Derivative Pricing and Quantitative Risk Management, gives me a solid base for credit analysis and financial modelling. I hold the Bloomberg Market Concepts certification. Using AI tools, I designed a quantitative equity strategy that achieved a Sharpe ratio of 0.91 against the SPY over a ten year backtest, and I built a live trading system across eight exchanges that I shut down once it showed no net edge. These projects taught me to harness AI for research while staying disciplined about what the numbers really say.</w:t>
      </w:r>
    </w:p>
    <w:p>
      <w:pPr>
        <w:spacing w:after="200"/>
        <w:jc w:val="both"/>
      </w:pPr>
      <w:r>
        <w:rPr>
          <w:rFonts w:ascii="Arial" w:cs="Arial" w:eastAsia="Arial" w:hAnsi="Arial"/>
          <w:sz w:val="22"/>
          <w:szCs w:val="22"/>
        </w:rPr>
        <w:t xml:space="preserve">My commercial track record reinforces this analytical profile. At Mecanicus, I assisted on more than ten over the counter transactions between 50,000 and 500,000 euros, within a three million euro inventory. As an independent reseller since 2018, I generated more than 10,000 euros of revenue at a margin of about 50 percent, which taught me pricing, negotiation and risk management on my own capital. I work comfortably in French and English (TOEIC 975/990), with Spanish at B2 level.</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can contribute to the Paris Private Credit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2026-10-30T09:40:25.983Z</dcterms:created>
  <dcterms:modified xsi:type="dcterms:W3CDTF">2026-10-30T09:40:25.988Z</dcterms:modified>
</cp:coreProperties>
</file>

<file path=docProps/custom.xml><?xml version="1.0" encoding="utf-8"?>
<Properties xmlns="http://schemas.openxmlformats.org/officeDocument/2006/custom-properties" xmlns:vt="http://schemas.openxmlformats.org/officeDocument/2006/docPropsVTypes"/>
</file>