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1 Finance à l'ESSCA, je vous adresse ma candidature pour le stage d'Analyste Financements au sein de Praemia REIM à Levallois Perret. Votre activité de gestion d'actifs immobiliers place le financement, l'analyse du risque de crédit et la structuration d'opérations au cœur des décisions d'investissement, et c'est précisément le terrain sur lequel je souhaite apprendre et contribuer.</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m'a apporté des bases solides en Fixed Income Modeling, Quantitative Risk Management, Derivative Pricing et IFRS, complétées par la certification Bloomberg Market Concepts. En m'appuyant sur des outils d'IA, j'ai conçu une stratégie algorithmique atteignant un ratio de Sharpe de 0,91 par rapport au SPY sur dix ans de backtest, puis un système de trading sur Polymarket connecté à huit plateformes, que j'ai arrêté lorsque le suivi du P&amp;L a montré l'absence d'avantage net. Cette discipline, qui consiste à mesurer avant de conclure, est celle que j'apporterai à vos analyses de financement.</w:t>
      </w:r>
    </w:p>
    <w:p>
      <w:pPr>
        <w:spacing w:after="200"/>
        <w:jc w:val="both"/>
      </w:pPr>
      <w:r>
        <w:rPr>
          <w:rFonts w:ascii="Arial" w:cs="Arial" w:eastAsia="Arial" w:hAnsi="Arial"/>
          <w:sz w:val="22"/>
          <w:szCs w:val="22"/>
        </w:rPr>
        <w:t xml:space="preserve">J'ai également développé un sens commercial concret. Chez Mecanicus, j'ai participé à plus de dix transactions de gré à gré comprises entre 50 000 et 500 000 euros, pour un stock de 3 millions d'euros. Comme revendeur indépendant depuis 2018, j'ai généré plus de 10 000 euros de chiffre d'affaires avec environ 50 % de marge nette, ce qui m'a appris à négocier, à arbitrer entre risque et rentabilité et à tenir mes engagements.</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Rigoureux, curieux et habitué à travailler sous pression grâce à mon passé de sportif de compétition, je serais heureux de vous présenter ma motivation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2026-10-30T09:40:47.015Z</dcterms:created>
  <dcterms:modified xsi:type="dcterms:W3CDTF">2026-10-30T09:40:47.015Z</dcterms:modified>
</cp:coreProperties>
</file>

<file path=docProps/custom.xml><?xml version="1.0" encoding="utf-8"?>
<Properties xmlns="http://schemas.openxmlformats.org/officeDocument/2006/custom-properties" xmlns:vt="http://schemas.openxmlformats.org/officeDocument/2006/docPropsVTypes"/>
</file>