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Rothschild &amp; Co occupe une place à part dans le conseil financier européen, par l'indépendance de son positionnement et par la qualité des opérations de grandes capitalisations qu'accompagne l'équipe Global Advisory de Paris. Étudiant en Master 1 de Finance à l'ESSCA, en année de césure, je souhaite rejoindre votre équipe Large Cap dans le cadre du Long Term Internship de juillet/septembre 2027, afin de contribuer au soutien à l'origination, à l'exécution des transactions et à la modélisation financière.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où j'étudie notamment Derivative Pricing, Fixed Income Modeling, Stochastic Calculus, Quantitative Risk Management et les normes IFRS, me donne des bases solides en valorisation et en analyse financière. Elle est complétée par la certification Bloomberg Market Concepts et par un TOEIC de 975 sur 990. En m'appuyant sur des outils d'IA, j'ai conçu une stratégie algorithmique atteignant un ratio de Sharpe de 0,91 par rapport au SPY sur dix ans de backtest, puis un système de trading sur Polymarket connecté à huit plateformes d'échange, que j'ai arrêté faute d'avantage net. Ces projets m'ont appris à structurer une analyse, à tester une hypothèse avec rigueur et à tirer les conclusions d'un résultat, y compris lorsqu'il est négatif.</w:t>
      </w:r>
    </w:p>
    <w:p>
      <w:pPr>
        <w:spacing w:after="200"/>
        <w:jc w:val="both"/>
      </w:pPr>
      <w:r>
        <w:rPr>
          <w:rFonts w:ascii="Arial" w:cs="Arial" w:eastAsia="Arial" w:hAnsi="Arial"/>
          <w:sz w:val="22"/>
          <w:szCs w:val="22"/>
        </w:rPr>
        <w:t xml:space="preserve">Mon parcours commercial m'a également appris à conduire une négociation et à tenir un engagement. Chez Mecanicus, j'ai participé à plus de dix transactions de gré à gré comprises entre 50 000 et 500 000 euros, pour un stock de 3 millions d'euros. Comme revendeur indépendant de 2018 à 2025, j'ai généré plus de 10 000 euros de chiffre d'affaires avec une marge nette d'environ 50 %. Cette expérience nourrit mon goût pour les situations où l'on doit convaincre, chiffrer et décider vite, ce qui est au coeur du métier de banquier conseil.</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Convaincu que mon sérieux, ma curiosité pour les marchés et ma capacité de travail me permettront de m'intégrer rapidement à vos équipes, je serais heureux de pouvoir échanger avec vous lors d'un entretien. 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2026-10-30T09:40:25.513Z</dcterms:created>
  <dcterms:modified xsi:type="dcterms:W3CDTF">2026-10-30T09:40:25.514Z</dcterms:modified>
</cp:coreProperties>
</file>

<file path=docProps/custom.xml><?xml version="1.0" encoding="utf-8"?>
<Properties xmlns="http://schemas.openxmlformats.org/officeDocument/2006/custom-properties" xmlns:vt="http://schemas.openxmlformats.org/officeDocument/2006/docPropsVTypes"/>
</file>