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Rothschild &amp; Co occupe une place à part dans le conseil en fusions acquisitions, et son équipe Healthcare à Paris couvre un éventail de situations rare, des opérations de M&amp;A aux financements, restructurations et introductions en bourse. C'est pour cette raison que je souhaite rejoindre votre équipe de couverture Healthcare au sein de Global Advisory dans le cadre du stage long de juillet 2027. Le suivi du marché français du M&amp;A de la santé, la préparation de supports d'origination et la participation à l'exécution des transactions correspondent exactement à l'apprentissage que je recherche.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en Master Finance, m'a donné des bases solides en évaluation, en modélisation obligataire et en gestion des risques, complétées par la certification Bloomberg Market Concepts. En m'appuyant sur des outils d'IA, j'ai conçu une stratégie algorithmique atteignant un ratio de Sharpe de 0,91 par rapport au SPY sur dix ans de backtest, puis un système de trading sur Polymarket connecté à huit plateformes d'échange, que j'ai arrêté lorsque l'analyse de la performance a montré l'absence d'avantage net. Ces projets m'ont appris à structurer une analyse, à la remettre en cause avec rigueur et à produire rapidement des résultats exploitables sur Excel et PowerPoint.</w:t>
      </w:r>
    </w:p>
    <w:p>
      <w:pPr>
        <w:spacing w:after="200"/>
        <w:jc w:val="both"/>
      </w:pPr>
      <w:r>
        <w:rPr>
          <w:rFonts w:ascii="Arial" w:cs="Arial" w:eastAsia="Arial" w:hAnsi="Arial"/>
          <w:sz w:val="22"/>
          <w:szCs w:val="22"/>
        </w:rPr>
        <w:t xml:space="preserve">Mon parcours commercial renforce cette approche. Chez Mecanicus, j'ai conclu plus de dix transactions de gré à gré comprises entre 50 000 et 500 000 euros, pour un stock de 3 millions d'euros. Depuis 2018, mon activité indépendante de revente a généré plus de 10 000 euros de chiffre d'affaires avec environ 50 % de marge nette, ce qui m'a appris à négocier, à valoriser un actif et à tenir des engagements sous pression, des qualités utiles dans l'exécution d'un mandat.</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profil analytique et ma motivation pour le conseil financier peuvent contribuer à votre équipe, je serais heureux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2026-10-30T09:40:28.761Z</dcterms:created>
  <dcterms:modified xsi:type="dcterms:W3CDTF">2026-10-30T09:40:28.761Z</dcterms:modified>
</cp:coreProperties>
</file>

<file path=docProps/custom.xml><?xml version="1.0" encoding="utf-8"?>
<Properties xmlns="http://schemas.openxmlformats.org/officeDocument/2006/custom-properties" xmlns:vt="http://schemas.openxmlformats.org/officeDocument/2006/docPropsVTypes"/>
</file>