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Equity Research Summer Internship Programme 2027 at Fidelity International in Hong Kong. Fidelity's reputation for deep, bottom up research and the chance to be mentored by a director of research while building models and pitching buy or sell recommendations to senior investors make this programme my first choice.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Alongside my studies at ESSCA, where I am completing my first year of the Master in Finance, I hold the Bloomberg Market Concepts certification and a TOEIC score of 975 out of 990. Using AI tools, I designed a quantitative equity strategy that achieved a Sharpe ratio of 0.91 against the SPY over a ten year backtest, and I built a live trading system on Polymarket connected to eight exchanges, which I shut down once the data showed no net edge. This work trained me to build a thesis from the data, to test it honestly and to present a clear conclusion, which is the approach I would bring to equity research and earnings modelling.</w:t>
      </w:r>
    </w:p>
    <w:p>
      <w:pPr>
        <w:spacing w:after="200"/>
        <w:jc w:val="both"/>
      </w:pPr>
      <w:r>
        <w:rPr>
          <w:rFonts w:ascii="Arial" w:cs="Arial" w:eastAsia="Arial" w:hAnsi="Arial"/>
          <w:sz w:val="22"/>
          <w:szCs w:val="22"/>
        </w:rPr>
        <w:t xml:space="preserve">Before this, I worked as a Sales Assistant at Mecanicus, where I took part in more than ten over the counter transactions between 50,000 and 500,000 euros and helped manage three million euros of inventory. Since 2018 I have also run an independent resale activity that generated more than 10,000 euros in revenue at a net margin of about 50 percent, which taught me to price risk, negotiate and manage inventory under pressure. Valuing goods, assessing counterparties and defending a price are close to the daily work of judging a company's intrinsic value.</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welcome the chance to discuss my application with your team and thank you for your consideration.</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2026-10-31T10:39:05.549Z</dcterms:created>
  <dcterms:modified xsi:type="dcterms:W3CDTF">2026-10-31T10:39:05.549Z</dcterms:modified>
</cp:coreProperties>
</file>

<file path=docProps/custom.xml><?xml version="1.0" encoding="utf-8"?>
<Properties xmlns="http://schemas.openxmlformats.org/officeDocument/2006/custom-properties" xmlns:vt="http://schemas.openxmlformats.org/officeDocument/2006/docPropsVTypes"/>
</file>