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La trésorerie d'une caisse régionale du Groupe BPCE se situe au point de rencontre entre les marchés et l'activité commerciale : gérer la liquidité, suivre les besoins de refinancement et piloter les positions de taux demandent à la fois de la rigueur et une vraie lecture des marchés. C'est précisément ce qui me motive à candidater au stage de Trésorier au sein de la Caisse d'Épargne Rhône Alpes à Lyon, afin de découvrir ce métier au plus près des décisions et d'y apporter mon sérieux.</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Étudiant en Master 1 Finance à l'ESSCA, j'ai complété ma formation par la certification Bloomberg Market Concepts et par un score de 975 sur 990 au TOEIC. En m'appuyant sur des outils d'IA, j'ai conçu une stratégie algorithmique atteignant un ratio de Sharpe de 0,91 par rapport au SPY sur dix ans de backtest, puis un système de trading sur les marchés de prédiction connecté à huit plateformes, suivi en temps réel et arrêté lorsque l'absence d'avantage net a été démontrée. Ces projets m'ont appris à mesurer un risque, à lire des données de marché et à accepter les conclusions d'un chiffrage, des réflexes utiles en salle de trésorerie.</w:t>
      </w:r>
    </w:p>
    <w:p>
      <w:pPr>
        <w:spacing w:after="200"/>
        <w:jc w:val="both"/>
      </w:pPr>
      <w:r>
        <w:rPr>
          <w:rFonts w:ascii="Arial" w:cs="Arial" w:eastAsia="Arial" w:hAnsi="Arial"/>
          <w:sz w:val="22"/>
          <w:szCs w:val="22"/>
        </w:rPr>
        <w:t xml:space="preserve">Mon parcours est aussi commercial et entrepreneurial. Chez Mecanicus, j'ai participé à plus de dix transactions de gré à gré comprises entre 50 000 et 500 000 euros et suivi trois millions d'euros d'inventaire. Parallèlement, mon activité indépendante de revente, menée depuis 2018, a généré plus de 10 000 euros de chiffre d'affaires avec une marge nette d'environ 50 pour cent, ce qui m'a donné le goût de la négociation, de la gestion des flux et de la discipline financière.</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sens des chiffres, ma curiosité pour les marchés et ma capacité à travailler sous pression correspondent à ce que vous attendez, je serais heureux d'échanger avec vous lors d'un entretien. 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2026-10-30T13:06:09.735Z</dcterms:created>
  <dcterms:modified xsi:type="dcterms:W3CDTF">2026-10-30T13:06:09.735Z</dcterms:modified>
</cp:coreProperties>
</file>

<file path=docProps/custom.xml><?xml version="1.0" encoding="utf-8"?>
<Properties xmlns="http://schemas.openxmlformats.org/officeDocument/2006/custom-properties" xmlns:vt="http://schemas.openxmlformats.org/officeDocument/2006/docPropsVTypes"/>
</file>