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Scotiabank's Business Risk Management function in Asia Pacific sits at the point where trading activity meets control, which is exactly where I want to start my career in financial markets. I am writing to apply for the Intern, Business Risk Management, APAC position in Singapore, with a genuine interest in front office supervision and operational risk.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At ESSCA I have studied finance with a focus on portfolio theory and risk, and I hold the Bloomberg Market Concepts certification. Using AI tools, I designed a quantitative equity strategy that achieved a Sharpe ratio of 0.91 against the SPY over a ten year backtest, with a focus on regime aware risk control. I also built, again with AI assistance, a live trading system on Polymarket connected to eight exchanges and hosted on AWS, with live P&amp;L monitoring and position checks, which I shut down once the results showed no net edge. This taught me why controls, key risk indicators and disciplined monitoring matter, and I am comfortable working with Excel and large data sets.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commercial experience adds a pragmatic dimension. At Mecanicus I supported more than ten over the counter transactions between €50k and €500k and handled €3M of inventory, and since 2018 I have run an independent resale activity generating more than €10k of revenue at roughly 50% net margin. I am used to working in a fast paced environment, handling several topics at once and dealing with varied counterparties.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glad to contribute to the Business Risk Management team and would welcome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2026-10-31T08:36:37.089Z</dcterms:created>
  <dcterms:modified xsi:type="dcterms:W3CDTF">2026-10-31T08:36:37.089Z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