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Restructuring and transformation work puts a firm's numbers under the most pressure, and FTI Consulting's Corporate Finance and Restructuring practice is where I would most like to learn how liquidity, business plans and stakeholder negotiations come together. I am therefore applying for the 2027 Intern, Corporate Finance position in Italy.</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1 in Finance at ESSCA School of Management, together with the Bloomberg Market Concepts certification, gave me a solid grounding in financial statements, valuation and corporate finance. Using AI tools, I designed a quantitative equity strategy that achieved a Sharpe ratio of 0.91 against the SPY over a ten year backtest, and I built a live trading system on Polymarket across eight exchanges, which I shut down once it showed no net edge. These projects taught me to build models, test business viability honestly and accept what the numbers say, which is the mindset restructuring requires.</w:t>
      </w:r>
    </w:p>
    <w:p>
      <w:pPr>
        <w:spacing w:after="200"/>
        <w:jc w:val="both"/>
      </w:pPr>
      <w:r>
        <w:rPr>
          <w:rFonts w:ascii="Arial" w:cs="Arial" w:eastAsia="Arial" w:hAnsi="Arial"/>
          <w:sz w:val="22"/>
          <w:szCs w:val="22"/>
        </w:rPr>
        <w:t xml:space="preserve">My commercial experience adds a practical dimension. As a Sales Assistant at Mecanicus, I handled more than ten over the counter transactions between €50k and €500k and managed €3M of inventory. Since 2018 I have run an independent reselling activity that generated over €10k of revenue at a net margin of about 50%, which taught me cash discipline, negotiation and accountability for results.</w:t>
      </w:r>
    </w:p>
    <w:p>
      <w:pPr>
        <w:spacing w:after="200"/>
        <w:jc w:val="both"/>
      </w:pPr>
      <w:r>
        <w:rPr>
          <w:rFonts w:ascii="Arial" w:cs="Arial" w:eastAsia="Arial" w:hAnsi="Arial"/>
          <w:sz w:val="22"/>
          <w:szCs w:val="22"/>
        </w:rPr>
        <w:t xml:space="preserve">I am available from June 2027 for eight weeks.</w:t>
      </w:r>
    </w:p>
    <w:p>
      <w:pPr>
        <w:spacing w:after="200"/>
        <w:jc w:val="both"/>
      </w:pPr>
      <w:r>
        <w:rPr>
          <w:rFonts w:ascii="Arial" w:cs="Arial" w:eastAsia="Arial" w:hAnsi="Arial"/>
          <w:sz w:val="22"/>
          <w:szCs w:val="22"/>
        </w:rPr>
        <w:t xml:space="preserve">I would welcome the opportunity to discuss my application with you in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2026-10-31T11:38:39.981Z</dcterms:created>
  <dcterms:modified xsi:type="dcterms:W3CDTF">2026-10-31T11:38:39.981Z</dcterms:modified>
</cp:coreProperties>
</file>

<file path=docProps/custom.xml><?xml version="1.0" encoding="utf-8"?>
<Properties xmlns="http://schemas.openxmlformats.org/officeDocument/2006/custom-properties" xmlns:vt="http://schemas.openxmlformats.org/officeDocument/2006/docPropsVTypes"/>
</file>