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Les opérations d'investissement et de désinvestissement d'un gestionnaire d'actifs alternatifs coté comme Tikehau Capital reposent autant sur la qualité de leur documentation juridique que sur leur logique financière. C'est à cette interface entre le droit des sociétés, le droit boursier et la transaction que je souhaite me former, et c'est pourquoi je vous adresse ma candidature au stage Legal Corporate de votre équipe juridique à Paris.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complétée par la certification Bloomberg Market Concepts et la préparation de la certification AMF, m'a familiarisé avec le cadre réglementaire des marchés, la communication financière et la lecture des documents d'opérations. En m'appuyant sur des outils d'IA, j'ai conçu une stratégie algorithmique atteignant un ratio de Sharpe de 0,91 par rapport au SPY sur dix ans de backtest, ainsi qu'un système de trading sur Polymarket que j'ai arrêté faute d'avantage net. Ces projets m'ont appris à mener des recherches structurées et à rédiger des synthèses claires, des qualités utiles pour la revue de contrats et la rédaction de notes.</w:t>
      </w:r>
    </w:p>
    <w:p>
      <w:pPr>
        <w:spacing w:after="200"/>
        <w:jc w:val="both"/>
      </w:pPr>
      <w:r>
        <w:rPr>
          <w:rFonts w:ascii="Arial" w:cs="Arial" w:eastAsia="Arial" w:hAnsi="Arial"/>
          <w:sz w:val="22"/>
          <w:szCs w:val="22"/>
        </w:rPr>
        <w:t xml:space="preserve">Mon parcours commercial m'a également confronté à la pratique contractuelle. Chez Mecanicus, j'ai conclu plus de dix ventes de gré à gré comprises entre 50 000 et 500 000 euros, en suivant les engagements de chaque partie et un stock de 3 millions d'euros. Depuis 2018, mon activité de revendeur indépendant, plus de 10 000 euros de chiffre d'affaires pour une marge nette d'environ 50 %, m'a appris la rigueur et le sens des responsabilités. Je travaille couramment en anglais (TOEIC 975 sur 990).</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Rigoureux et curieux, je serais heureux de vous présenter ma motivation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2026-10-31T11:38:39.917Z</dcterms:created>
  <dcterms:modified xsi:type="dcterms:W3CDTF">2026-10-31T11:38:39.917Z</dcterms:modified>
</cp:coreProperties>
</file>

<file path=docProps/custom.xml><?xml version="1.0" encoding="utf-8"?>
<Properties xmlns="http://schemas.openxmlformats.org/officeDocument/2006/custom-properties" xmlns:vt="http://schemas.openxmlformats.org/officeDocument/2006/docPropsVTypes"/>
</file>