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Model risk sits at the point where mathematics, market intuition and independent judgement meet, which is exactly why the Intern Model Risk Management position within the Financial Markets Model Risk team at ABN AMRO appeals to me. Validating valuation and risk models, challenging their assumptions and building independent challenger models is the kind of rigorous, questioning work I want to do at the start of my career in financial markets.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At ESSCA School of Management I follow a Master in Finance with courses in Derivative Pricing, Fixed Income Modeling, Stochastic Calculus and Quantitative Risk Management, which gives me the theoretical base to understand the models behind valuation and risk. Beyond the classroom, I use AI tools to design and iterate on quantitative strategies. Using them, I built a crisis driven equity strategy that reached a Sharpe ratio of 0.91 against the SPY over a ten year backtest, and a Polymarket trading system connected to eight exchanges that I shut down once the results showed no net edge. That decision to test a model honestly and retire it when the evidence does not support it is, I believe, the right instinct for a model validation role.</w:t>
      </w:r>
    </w:p>
    <w:p>
      <w:pPr>
        <w:spacing w:after="200"/>
        <w:jc w:val="both"/>
      </w:pPr>
      <w:r>
        <w:rPr>
          <w:rFonts w:ascii="Arial" w:cs="Arial" w:eastAsia="Arial" w:hAnsi="Arial"/>
          <w:sz w:val="22"/>
          <w:szCs w:val="22"/>
        </w:rPr>
        <w:t xml:space="preserve">My commercial background reinforces this. At Mecanicus I assisted on more than ten over the counter transactions between 50k and 500k euros and followed a 3 million euro inventory, and as an independent reseller since 2018 I generated over 10k euros of revenue at a net margin close to 50 percent. These experiences taught me to price risk, to be accountable for my numbers and to explain them clearly to decision makers.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glad to discuss how I could contribute to your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2026-10-30T10:54:34.700Z</dcterms:created>
  <dcterms:modified xsi:type="dcterms:W3CDTF">2026-10-30T10:54:34.701Z</dcterms:modified>
</cp:coreProperties>
</file>

<file path=docProps/custom.xml><?xml version="1.0" encoding="utf-8"?>
<Properties xmlns="http://schemas.openxmlformats.org/officeDocument/2006/custom-properties" xmlns:vt="http://schemas.openxmlformats.org/officeDocument/2006/docPropsVTypes"/>
</file>