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Air Liquide opère dans plus de soixante pays, et sa trésorerie doit sécuriser chaque jour des flux multi devises tout en s'appuyant sur des outils fiables. Le stage Trésorerie et Projets Systèmes d'Information réunit ce que je recherche : la rigueur de la gestion de trésorerie et le déploiement d'outils au service des équipes. Étudiant en Master 1 Finance à l'ESSCA, c'est avec un vrai intérêt que je vous adresse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Mon cursus à l'ESSCA couvre Fixed Income Modeling, Quantitative Risk Management, Portfolio Management et IFRS, et j'ai validé la certification Bloomberg Market Concepts. J'ai aussi développé une réelle appétence pour les outils. En m'appuyant sur des outils d'IA, j'ai conçu une stratégie algorithmique atteignant un ratio de Sharpe de 0,91 par rapport au SPY sur dix ans de backtest, puis un système de trading hébergé sur AWS, agrégeant huit plateformes avec un suivi de performance en temps réel. Je sais donc structurer des données, automatiser un reporting et exploiter l'IA pour itérer vite, un atout pour les rapports, l'automatisation de processus et les projets de déploiement d'outils de trésorerie.</w:t>
      </w:r>
    </w:p>
    <w:p>
      <w:pPr>
        <w:spacing w:after="200"/>
        <w:jc w:val="both"/>
      </w:pPr>
      <w:r>
        <w:rPr>
          <w:rFonts w:ascii="Arial" w:cs="Arial" w:eastAsia="Arial" w:hAnsi="Arial"/>
          <w:sz w:val="22"/>
          <w:szCs w:val="22"/>
        </w:rPr>
        <w:t xml:space="preserve">Mon parcours est également commercial. Chez Mecanicus, j'ai réalisé plus de dix transactions de gré à gré comprises entre 50 000 et 500 000 euros, en gérant un stock de 3 millions d'euros. Revendeur indépendant de 2018 à 2025, j'ai généré plus de 10 000 euros de chiffre d'affaires avec une marge nette d'environ 50 %. Ces expériences m'ont appris à suivre des flux, à tenir mes engagements et à travailler avec des interlocuteurs variés, ce qui sera précieux pour assister les entités du groupe et les équipes IT.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d'échanger avec vous lors d'un entretien afin de vous exposer plus en détail ma motivation et ma rigueur.</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2026-10-30T10:55:38.714Z</dcterms:created>
  <dcterms:modified xsi:type="dcterms:W3CDTF">2026-10-30T10:55:38.714Z</dcterms:modified>
</cp:coreProperties>
</file>

<file path=docProps/custom.xml><?xml version="1.0" encoding="utf-8"?>
<Properties xmlns="http://schemas.openxmlformats.org/officeDocument/2006/custom-properties" xmlns:vt="http://schemas.openxmlformats.org/officeDocument/2006/docPropsVTypes"/>
</file>