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Amundi est pour moi la référence européenne de la gestion d'actifs, et la création d'une nouvelle équipe d'activation des ventes est une occasion rare de contribuer dès le départ à la construction d'un dispositif commercial. Je souhaite donc candidater au stage Activation des ventes au sein de Crédit Agricole S.A., car il associe coordination commerciale, relation avec les équipes de plusieurs régions et compréhension fine des produits d'investissement.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complétée par la certification Bloomberg Market Concepts et un score TOEIC de 975 sur 990, me donne une aisance en analyse financière et en anglais professionnel. En m'appuyant sur des outils d'IA, j'ai conçu une stratégie algorithmique atteignant un ratio de Sharpe de 0,91 par rapport au SPY sur dix ans de backtest, puis un système de trading sur Polymarket que j'ai arrêté faute d'avantage net. Cette habitude d'utiliser l'IA pour structurer des analyses et suivre des indicateurs correspond à l'intérêt de l'équipe pour l'IA appliquée à l'activation commerciale, ainsi qu'à la maîtrise d'Excel et de PowerPoint attendue pour préparer présentations et tableaux de bord.</w:t>
      </w:r>
    </w:p>
    <w:p>
      <w:pPr>
        <w:spacing w:after="200"/>
        <w:jc w:val="both"/>
      </w:pPr>
      <w:r>
        <w:rPr>
          <w:rFonts w:ascii="Arial" w:cs="Arial" w:eastAsia="Arial" w:hAnsi="Arial"/>
          <w:sz w:val="22"/>
          <w:szCs w:val="22"/>
        </w:rPr>
        <w:t xml:space="preserve">Mon parcours est aussi résolument commercial. Chez Mecanicus, j'ai participé à plus de dix ventes de gré à gré comprises entre 50 000 et 500 000 euros et suivi un stock de 3 millions d'euros, ce qui m'a appris à traduire un besoin client en proposition concrète. Pendant sept ans, j'ai également mené une activité de revendeur indépendant, avec plus de 10 000 euros de chiffre d'affaires et environ 50 % de marge, en gérant seul l'approche des acheteurs et le suivi de chaque transaction.</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de pouvoir apporter rigueur, sens du contact et goût du résultat à l'équipe,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2026-10-30T10:55:02.632Z</dcterms:created>
  <dcterms:modified xsi:type="dcterms:W3CDTF">2026-10-30T10:55:02.632Z</dcterms:modified>
</cp:coreProperties>
</file>

<file path=docProps/custom.xml><?xml version="1.0" encoding="utf-8"?>
<Properties xmlns="http://schemas.openxmlformats.org/officeDocument/2006/custom-properties" xmlns:vt="http://schemas.openxmlformats.org/officeDocument/2006/docPropsVTypes"/>
</file>