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stage d'Assistant Trading Agreement Facilitation au sein d'Amundi Intermédiation m'attire par sa position à l'interface du trading, du juridique, de la compliance et du middle office. Instruire les contreparties de marché et mettre à jour les contrats ISDA, GMRA et GMSLA pour offrir au trading la couverture la plus large possible au service de la best exécution est une mission à la fois rigoureuse et directement utile aux opérateurs de marché.</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avec des enseignements en Derivative Pricing, Fixed Income Modeling, Quantitative Risk Management et IFRS, m'a donné les bases pour comprendre les produits OTC couverts par ces contrats. En m'appuyant sur des outils d'IA, j'ai conçu une stratégie algorithmique atteignant un ratio de Sharpe de 0,91 par rapport au SPY sur dix ans de backtest, puis un système de trading sur Polymarket connecté à huit plateformes, arrêté faute d'avantage net. Ces projets m'ont appris à structurer une démarche et à documenter chaque étape.</w:t>
      </w:r>
    </w:p>
    <w:p>
      <w:pPr>
        <w:spacing w:after="200"/>
        <w:jc w:val="both"/>
      </w:pPr>
      <w:r>
        <w:rPr>
          <w:rFonts w:ascii="Arial" w:cs="Arial" w:eastAsia="Arial" w:hAnsi="Arial"/>
          <w:sz w:val="22"/>
          <w:szCs w:val="22"/>
        </w:rPr>
        <w:t xml:space="preserve">Mon parcours commercial renforce ce profil. Chez Mecanicus, j'ai réalisé plus de dix ventes de gré à gré comprises entre 50 000 et 500 000 euros, en négociant directement avec des contreparties et en tenant un stock de 3 millions d'euros. Mon activité de revendeur indépendant, plus de 10 000 euros de chiffre d'affaires pour environ 50 % de marge nette, m'a appris le contact quotidien avec des interlocuteurs externes et le sens du détail contractuel. Mon anglais courant (TOEIC 975 sur 990) me permet de travailler sereinement dans la langue des marchés.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sérieux, ma curiosité pour les marchés et mon goût du travail précis seront utiles à votre équipe,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2026-10-30T10:57:34.532Z</dcterms:created>
  <dcterms:modified xsi:type="dcterms:W3CDTF">2026-10-30T10:57:34.532Z</dcterms:modified>
</cp:coreProperties>
</file>

<file path=docProps/custom.xml><?xml version="1.0" encoding="utf-8"?>
<Properties xmlns="http://schemas.openxmlformats.org/officeDocument/2006/custom-properties" xmlns:vt="http://schemas.openxmlformats.org/officeDocument/2006/docPropsVTypes"/>
</file>