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 stage d'analyste multigestion Private Equity au sein d'Amundi Alpha Associates correspond précisément à ce que je recherche : un poste où l'on analyse des fonds, sélectionne des gérants et suit des portefeuilles avec rigueur, au cœur d'une plateforme d'investissement non cotée reconnue. Analyser des fonds primaires, des secondaires et des co investissements, tout en menant une veille sectorielle, est pour moi une manière idéale de prolonger ma formation en finance.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À l'ESSCA School of Management, je suis un Master in Finance avec des cours de Portfolio Management, Fixed Income Modeling, Derivative Pricing et Quantitative Risk Management, qui me donnent les bases pour évaluer un fonds et son profil de risque. En m'appuyant sur des outils d'IA, j'ai conçu une stratégie algorithmique atteignant un ratio de Sharpe de 0,91 par rapport au SPY sur dix ans de backtest, et un système de trading sur Polymarket relié à huit plateformes, que j'ai arrêté lorsque les résultats ont montré l'absence d'avantage net. Cette discipline, qui consiste à juger une stratégie sur des preuves et à savoir y renoncer, me semble essentielle pour la sélection de gérants et la due diligence.</w:t>
      </w:r>
    </w:p>
    <w:p>
      <w:pPr>
        <w:spacing w:after="200"/>
        <w:jc w:val="both"/>
      </w:pPr>
      <w:r>
        <w:rPr>
          <w:rFonts w:ascii="Arial" w:cs="Arial" w:eastAsia="Arial" w:hAnsi="Arial"/>
          <w:sz w:val="22"/>
          <w:szCs w:val="22"/>
        </w:rPr>
        <w:t xml:space="preserve">Mon parcours commercial complète ce profil. Chez Mecanicus, j'ai participé à plus de dix transactions de gré à gré comprises entre 50 000 et 500 000 euros et suivi un stock de 3 millions d'euros, et en tant que revendeur indépendant depuis 2018, j'ai généré plus de 10 000 euros de chiffre d'affaires avec une marge nette proche de 50 %. J'y ai appris à construire une relation de confiance, à négocier et à défendre mes chiffres.</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heureux de vous présenter ma motivation lors d'un entretien et reste à votre disposition pour échanger.</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2026-10-30T10:54:34.888Z</dcterms:created>
  <dcterms:modified xsi:type="dcterms:W3CDTF">2026-10-30T10:54:34.888Z</dcterms:modified>
</cp:coreProperties>
</file>

<file path=docProps/custom.xml><?xml version="1.0" encoding="utf-8"?>
<Properties xmlns="http://schemas.openxmlformats.org/officeDocument/2006/custom-properties" xmlns:vt="http://schemas.openxmlformats.org/officeDocument/2006/docPropsVTypes"/>
</file>