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pilotage de la liquidité d'une salle de marchés est au coeur du fonctionnement d'une banque d'investissement, et c'est ce qui me motive à candidater au stage ALMT Global Markets Steering Officer chez BNP Paribas. Travailler au sein de GMAT, au contact des traders et des équipes de New York, Londres et Singapour, répond exactement à mon ambition de comprendre les marchés sous l'angle du bilan et des contraintes réglementaires.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À l'ESSCA, j'ai suivi des cours de Fixed Income Modeling, Derivative Pricing, Quantitative Risk Management et Portfolio Management, qui m'aident à lire un ratio comme le NSFR et à en décomposer les moteurs par activité. En m'appuyant sur des outils d'IA, j'ai conçu une stratégie algorithmique atteignant un ratio de Sharpe de 0,91 par rapport au SPY sur dix ans de backtest, et un système de trading sur Polymarket relié à huit plateformes d'échange avec suivi du résultat en temps réel. Ces projets m'ont habitué à réconcilier des chiffres de sources différentes et à vérifier la cohérence d'un indicateur, ce qui rejoint la démarche demandée pour rapprocher les calculs de GMAT des reportings officiels. Je travaille quotidiennement avec Excel et suis à l'aise en français comme en anglais.</w:t>
      </w:r>
    </w:p>
    <w:p>
      <w:pPr>
        <w:spacing w:after="200"/>
        <w:jc w:val="both"/>
      </w:pPr>
      <w:r>
        <w:rPr>
          <w:rFonts w:ascii="Arial" w:cs="Arial" w:eastAsia="Arial" w:hAnsi="Arial"/>
          <w:sz w:val="22"/>
          <w:szCs w:val="22"/>
        </w:rPr>
        <w:t xml:space="preserve">Mon parcours est aussi commercial. Chez Mecanicus, j'ai conclu plus de dix ventes de gré à gré comprises entre 50 000 et 500 000 euros tout en suivant un stock de 3 millions d'euros, et j'ai mené pendant sept ans une activité de revendeur indépendant avec plus de 10 000 euros de chiffre d'affaires et environ 50 % de marge. J'y ai développé le sens de l'organisation et la capacité à dialoguer avec des interlocuteurs variés, utiles pour travailler avec les desks de trading.</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 et de contribuer au travail de l'équipe.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2026-10-30T10:55:02.697Z</dcterms:created>
  <dcterms:modified xsi:type="dcterms:W3CDTF">2026-10-30T10:55:02.697Z</dcterms:modified>
</cp:coreProperties>
</file>

<file path=docProps/custom.xml><?xml version="1.0" encoding="utf-8"?>
<Properties xmlns="http://schemas.openxmlformats.org/officeDocument/2006/custom-properties" xmlns:vt="http://schemas.openxmlformats.org/officeDocument/2006/docPropsVTypes"/>
</file>