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Détecter le risque de défaillance d'une entreprise le plus en amont possible, grâce à la donnée et à l'IA, est une approche du risque de contrepartie qui m'enthousiasme. C'est pourquoi je souhaite rejoindre l'équipe Early Detection de Crédit Agricole CIB en tant qu'Analyste Crédit, pour apprendre à repérer les signaux faibles et à recommander des plans d'action.</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Mes cours à l'ESSCA en Quantitative Risk Management, Fixed Income Modeling, Stochastic Calculus et IFRS m'ont donné le cadre pour comprendre le risque de crédit et lire des états financiers. En m'appuyant sur des outils d'IA, j'ai conçu une stratégie algorithmique atteignant un ratio de Sharpe de 0,91 par rapport au SPY sur dix ans de backtest, dont un volet dédié aux régimes de crise, puis un système de trading sur Polymarket que j'ai arrêté lorsque l'analyse a montré l'absence d'avantage net. Cette discipline de backtesting et de remise en cause de ses propres hypothèses rejoint la création d'indicateurs, de bases de données et d'outils de visualisation évoquée dans l'annonce, et je sais tirer parti de l'IA pour explorer rapidement de nouveaux angles d'analyse.</w:t>
      </w:r>
    </w:p>
    <w:p>
      <w:pPr>
        <w:spacing w:after="200"/>
        <w:jc w:val="both"/>
      </w:pPr>
      <w:r>
        <w:rPr>
          <w:rFonts w:ascii="Arial" w:cs="Arial" w:eastAsia="Arial" w:hAnsi="Arial"/>
          <w:sz w:val="22"/>
          <w:szCs w:val="22"/>
        </w:rPr>
        <w:t xml:space="preserve">Mon parcours est aussi entrepreneurial. Chez Mecanicus, j'ai participé à plus de dix ventes de gré à gré comprises entre 50 000 et 500 000 euros avec un stock de 3 millions d'euros à suivre, ce qui exige de jauger la solidité d'un acheteur. J'ai aussi mené pendant sept ans une activité de revendeur indépendant, avec plus de 10 000 euros de chiffre d'affaires et environ 50 % de marge, en apprenant à gérer le risque d'impayé et de stock.</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présenter ma motivation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2026-10-30T10:55:02.741Z</dcterms:created>
  <dcterms:modified xsi:type="dcterms:W3CDTF">2026-10-30T10:55:02.741Z</dcterms:modified>
</cp:coreProperties>
</file>

<file path=docProps/custom.xml><?xml version="1.0" encoding="utf-8"?>
<Properties xmlns="http://schemas.openxmlformats.org/officeDocument/2006/custom-properties" xmlns:vt="http://schemas.openxmlformats.org/officeDocument/2006/docPropsVTypes"/>
</file>