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Crédit Agricole CIB occupe une place de premier plan dans les financements structurés, notamment dans les secteurs de l'énergie et des infrastructures, et c'est ce qui m'attire dans le poste d'Assistant Chargé d'affaires au sein du département Energy Real Assets. L'idée de participer à l'analyse de projets, à la rédaction de notes de crédit et au suivi de négociations clients correspond à ce que je veux apprendre au début de ma carrière.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À l'ESSCA, mes cours de Fixed Income Modeling, Derivative Pricing, Quantitative Risk Management et IFRS m'ont donné des bases solides pour lire un modèle financier et en tester la sensibilité. En m'appuyant sur des outils d'IA, j'ai conçu une stratégie algorithmique atteignant un ratio de Sharpe de 0,91 par rapport au SPY sur dix ans de backtest, ce qui m'a appris à construire des hypothèses, les éprouver et en documenter les limites. Je rédige avec aisance en français comme en anglais, avec un score TOEIC de 975 sur 990, et je maîtrise Excel au quotidien.</w:t>
      </w:r>
    </w:p>
    <w:p>
      <w:pPr>
        <w:spacing w:after="200"/>
        <w:jc w:val="both"/>
      </w:pPr>
      <w:r>
        <w:rPr>
          <w:rFonts w:ascii="Arial" w:cs="Arial" w:eastAsia="Arial" w:hAnsi="Arial"/>
          <w:sz w:val="22"/>
          <w:szCs w:val="22"/>
        </w:rPr>
        <w:t xml:space="preserve">Mon parcours est également marqué par l'esprit d'entreprendre. Chez Mecanicus, j'ai participé à plus de dix ventes de gré à gré comprises entre 50 000 et 500 000 euros, en suivant la relation avec chaque acheteur jusqu'à la conclusion. Pendant sept ans, j'ai aussi développé une activité de revendeur indépendant, avec plus de 10 000 euros de chiffre d'affaires et environ 50 % de marge, ce qui m'a appris à négocier et à arbitrer entre risque et rentabilité.</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de vous rencontrer pour vous exposer plus en détail ma motivation et ce que je peux apporter à l'équipe.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2026-10-30T10:55:02.716Z</dcterms:created>
  <dcterms:modified xsi:type="dcterms:W3CDTF">2026-10-30T10:55:02.716Z</dcterms:modified>
</cp:coreProperties>
</file>

<file path=docProps/custom.xml><?xml version="1.0" encoding="utf-8"?>
<Properties xmlns="http://schemas.openxmlformats.org/officeDocument/2006/custom-properties" xmlns:vt="http://schemas.openxmlformats.org/officeDocument/2006/docPropsVTypes"/>
</file>