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stage de Forex Officer au sein du département Banking Services de CACEIS, filiale du Groupe Crédit Agricole, au Luxembourg, répond à mon souhait de travailler au plus près d'une salle des marchés. Saisir, contrôler et payer des opérations de change et de prêts et dépôts dans le respect des cut offs de marché demande de la rigueur et de la réactivité, deux qualités que je cultive depuis longtemps.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avec des enseignements en Derivative Pricing, Fixed Income Modeling et Portfolio Management, complétée par la certification Bloomberg Market Concepts, m'a donné une base solide sur le fonctionnement des marchés. En m'appuyant sur des outils d'IA, j'ai conçu une stratégie algorithmique atteignant un ratio de Sharpe de 0,91 par rapport au SPY sur dix ans de backtest, puis un système de trading sur Polymarket connecté à huit plateformes, arrêté faute d'avantage net. Ces projets m'ont appris à travailler sous contrainte de temps et à contrôler chaque donnée avant d'agir.</w:t>
      </w:r>
    </w:p>
    <w:p>
      <w:pPr>
        <w:spacing w:after="200"/>
        <w:jc w:val="both"/>
      </w:pPr>
      <w:r>
        <w:rPr>
          <w:rFonts w:ascii="Arial" w:cs="Arial" w:eastAsia="Arial" w:hAnsi="Arial"/>
          <w:sz w:val="22"/>
          <w:szCs w:val="22"/>
        </w:rPr>
        <w:t xml:space="preserve">Mon parcours commercial renforce ce profil. Chez Mecanicus, j'ai réalisé plus de dix ventes de gré à gré comprises entre 50 000 et 500 000 euros, avec un stock de 3 millions d'euros à suivre. Mon activité de revendeur indépendant, plus de 10 000 euros de chiffre d'affaires pour environ 50 % de marge nette, m'a habitué aux échanges avec des interlocuteurs variés, à l'international comme en français, grâce à un anglais courant (TOEIC 975 sur 990) et à un niveau B2 en espagnol.</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sérieux, ma curiosité pour les marchés et mon goût du travail précis seront utiles à votre équipe,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2026-10-30T10:57:34.507Z</dcterms:created>
  <dcterms:modified xsi:type="dcterms:W3CDTF">2026-10-30T10:57:34.507Z</dcterms:modified>
</cp:coreProperties>
</file>

<file path=docProps/custom.xml><?xml version="1.0" encoding="utf-8"?>
<Properties xmlns="http://schemas.openxmlformats.org/officeDocument/2006/custom-properties" xmlns:vt="http://schemas.openxmlformats.org/officeDocument/2006/docPropsVTypes"/>
</file>