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d'Officer Derivatives Processing au sein du service Derivatives de Banking Services chez CACEIS, filiale du Groupe Crédit Agricole, au Luxembourg, correspond précisément à mon projet : comprendre de l'intérieur la vie d'une opération sur dérivés OTC, de la réception de l'ordre au règlement des flux. La rigueur exigée avant chaque cut off et la diversité des produits traités (swaps de taux, CDS, options, swaps d'inflation) m'attirent particulièrement, et je souhaite mettre mon appétit pour les marchés au service de votre équipe.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enseignements en Derivative Pricing, Fixed Income Modeling et Quantitative Risk Management, m'a donné les bases pour comprendre la valorisation et le cycle de vie des instruments que vous traitez. En m'appuyant sur des outils d'IA, j'ai conçu une stratégie algorithmique atteignant un ratio de Sharpe de 0,91 par rapport au SPY sur dix ans de backtest, puis un système de trading sur Polymarket connecté à huit plateformes, arrêté faute d'avantage net. Ces projets m'ont appris à contrôler des données, à réconcilier des positions et à remettre en cause mes résultats avec méthode.</w:t>
      </w:r>
    </w:p>
    <w:p>
      <w:pPr>
        <w:spacing w:after="200"/>
        <w:jc w:val="both"/>
      </w:pPr>
      <w:r>
        <w:rPr>
          <w:rFonts w:ascii="Arial" w:cs="Arial" w:eastAsia="Arial" w:hAnsi="Arial"/>
          <w:sz w:val="22"/>
          <w:szCs w:val="22"/>
        </w:rPr>
        <w:t xml:space="preserve">Mon parcours commercial renforce ce profil. Chez Mecanicus, j'ai réalisé plus de dix ventes de gré à gré comprises entre 50 000 et 500 000 euros et suivi un stock de 3 millions d'euros, ce qui demande de la précision dans le suivi des montants et des contreparties. Mon activité de revendeur indépendant, plus de 10 000 euros de chiffre d'affaires pour environ 50 % de marge nette, m'a habitué à tenir des délais et à gérer seul des flux d'argent.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sérieux, ma curiosité pour les marchés et mon goût du travail précis seront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2026-10-30T10:57:34.390Z</dcterms:created>
  <dcterms:modified xsi:type="dcterms:W3CDTF">2026-10-30T10:57:34.391Z</dcterms:modified>
</cp:coreProperties>
</file>

<file path=docProps/custom.xml><?xml version="1.0" encoding="utf-8"?>
<Properties xmlns="http://schemas.openxmlformats.org/officeDocument/2006/custom-properties" xmlns:vt="http://schemas.openxmlformats.org/officeDocument/2006/docPropsVTypes"/>
</file>