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of Finance à l'ESSCA, je souhaite rejoindre EDF à Puteaux en tant qu'analyste stagiaire en capital risque. Investir dans des start ups qui accélèrent la transition énergétique, au sein d'un groupe industriel de la taille d'EDF, associe l'analyse financière, la compréhension des technologies et un impact réel sur le système énergétique. C'est exactement le terrain sur lequel je souhaite apprendre.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(Fixed Income Modeling, Derivative Pricing, Quantitative Risk Management, Portfolio Management) m'a donné des bases solides, que j'ai prolongées par des projets personnels. En m'appuyant sur des outils d'IA, j'ai conçu une stratégie algorithmique atteignant un ratio de Sharpe de 0,91 par rapport au SPY sur dix ans de backtest, puis un système de trading sur Polymarket connecté à huit plateformes d'échange, que j'ai arrêté lorsque l'analyse a montré l'absence d'avantage net. Cette habitude de tester une idée avec des données avant d'y engager du capital me semble directement utile pour analyser des dossiers de start ups et suivre un portefeuille.</w:t>
      </w:r>
    </w:p>
    <w:p>
      <w:pPr>
        <w:spacing w:after="200"/>
        <w:jc w:val="both"/>
      </w:pPr>
      <w:r>
        <w:rPr>
          <w:rFonts w:ascii="Arial" w:cs="Arial" w:eastAsia="Arial" w:hAnsi="Arial"/>
          <w:sz w:val="22"/>
          <w:szCs w:val="22"/>
        </w:rPr>
        <w:t xml:space="preserve">Avant la finance, j'ai appris le métier par le terrain. Chez Mecanicus, j'ai conclu plus de dix ventes de gré à gré comprenant des tickets de 50 000 à 500 000 euros, sur un stock de 3 millions d'euros. Depuis 2018, je gère aussi une activité de revente indépendante, qui a généré plus de 10 000 euros de chiffre d'affaires avec environ 50 % de marge nette. Ces expériences m'ont appris à négocier, à tenir une position de prix et à assumer mes décisions. Cet esprit entrepreneurial m'aide à comprendre les fondateurs et les enjeux concrets de croissance qu'ils rencontrent.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expérience du terrain peuvent apporter une vraie valeur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2026-10-30T10:55:15.658Z</dcterms:created>
  <dcterms:modified xsi:type="dcterms:W3CDTF">2026-10-30T10:55:15.658Z</dcterms:modified>
</cp:coreProperties>
</file>

<file path=docProps/custom.xml><?xml version="1.0" encoding="utf-8"?>
<Properties xmlns="http://schemas.openxmlformats.org/officeDocument/2006/custom-properties" xmlns:vt="http://schemas.openxmlformats.org/officeDocument/2006/docPropsVTypes"/>
</file>