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conseil en fusions acquisitions chez Forvis Mazars m'attire par la combinaison d'une exécution rigoureuse des transactions et d'une vraie proximité avec les dirigeants et les actionnaires. Je souhaite rejoindre votre équipe Corporate Finance à Paris en tant qu'Analyste M&amp;A dans le cadre d'un stage de fin d'études ou de césure, afin de contribuer à des opérations concrètes de cession, d'acquisition et de levée de fonds.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cours de Derivative Pricing, Fixed Income Modeling, Quantitative Risk Management et IFRS, m'a donné les bases de l'évaluation et de l'analyse financière. En m'appuyant sur des outils d'IA, j'ai conçu une stratégie algorithmique atteignant un ratio de Sharpe de 0,91 par rapport au SPY sur dix ans de backtest, puis un système de trading sur Polymarket que j'ai arrêté faute d'avantage net, ce qui m'a appris à remettre en cause mes hypothèses avec rigueur. J'utilise ces outils pour accélérer la construction de modèles et de supports d'analyse tout en gardant un regard critique sur les résultats.</w:t>
      </w:r>
    </w:p>
    <w:p>
      <w:pPr>
        <w:spacing w:after="200"/>
        <w:jc w:val="both"/>
      </w:pPr>
      <w:r>
        <w:rPr>
          <w:rFonts w:ascii="Arial" w:cs="Arial" w:eastAsia="Arial" w:hAnsi="Arial"/>
          <w:sz w:val="22"/>
          <w:szCs w:val="22"/>
        </w:rPr>
        <w:t xml:space="preserve">Mon goût pour la transaction vient aussi du terrain. Chez Mecanicus, j'ai participé à plus de dix ventes de gré à gré de 50 000 à 500 000 euros pour un stock de 3 millions d'euros, et, comme revendeur indépendant depuis 2018, j'ai généré plus de 10 000 euros de chiffre d'affaires avec une marge nette d'environ 50 pour cent. Ces expériences m'ont appris à négocier, à valoriser un actif et à tenir des engagements précis.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vous présenter ma motivation lors d'un entretien et de vous montrer ce que je peux apporter à votre équipe.</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2026-10-30T10:54:36.649Z</dcterms:created>
  <dcterms:modified xsi:type="dcterms:W3CDTF">2026-10-30T10:54:36.650Z</dcterms:modified>
</cp:coreProperties>
</file>

<file path=docProps/custom.xml><?xml version="1.0" encoding="utf-8"?>
<Properties xmlns="http://schemas.openxmlformats.org/officeDocument/2006/custom-properties" xmlns:vt="http://schemas.openxmlformats.org/officeDocument/2006/docPropsVTypes"/>
</file>