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Séché Environnement est un acteur reconnu de la transition écologique, et son siège de Laval réunit les équipes qui pilotent la trésorerie d'un groupe présent à l'international. Le stage Trésorerie Groupe me permettrait de participer à la gestion de la position de trésorerie, au cash pooling et au suivi des prévisions, des sujets au cœur de ma formation en finance de marché.</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enseignements en Fixed Income Modeling, Quantitative Risk Management et IFRS, m'a donné une base solide pour comprendre les flux, les risques et les écarts de prévision. En m'appuyant sur des outils d'IA, j'ai conçu une stratégie algorithmique atteignant un ratio de Sharpe de 0,91 par rapport au SPY sur dix ans de backtest, puis un système de trading sur Polymarket avec suivi du résultat en temps réel, arrêté faute d'avantage net. Ces projets m'ont appris la rigueur du suivi quotidien et l'analyse des écarts, utiles pour un outil comme Diapason. Je suis à l'aise avec l'anglais professionnel (TOEIC 975/990).</w:t>
      </w:r>
    </w:p>
    <w:p>
      <w:pPr>
        <w:spacing w:after="200"/>
        <w:jc w:val="both"/>
      </w:pPr>
      <w:r>
        <w:rPr>
          <w:rFonts w:ascii="Arial" w:cs="Arial" w:eastAsia="Arial" w:hAnsi="Arial"/>
          <w:sz w:val="22"/>
          <w:szCs w:val="22"/>
        </w:rPr>
        <w:t xml:space="preserve">Chez Mecanicus, j'ai géré un stock de 3 millions d'euros et conclu plus de dix transactions de gré à gré comprises entre 50 000 et 500 000 euros, ce qui m'a sensibilisé à l'importance de la liquidité et du suivi des encaissements. Mon activité indépendante de revente, développée depuis 2018, a généré plus de 10 000 euros de chiffre d'affaires avec une marge nette d'environ 50 %, et m'a appris à piloter ma propre trésorerie.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vous présenter ma motivation lors d'un entretien et de contribuer au quotidien à votre équipe finance.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2026-10-30T10:57:25.596Z</dcterms:created>
  <dcterms:modified xsi:type="dcterms:W3CDTF">2026-10-30T10:57:25.596Z</dcterms:modified>
</cp:coreProperties>
</file>

<file path=docProps/custom.xml><?xml version="1.0" encoding="utf-8"?>
<Properties xmlns="http://schemas.openxmlformats.org/officeDocument/2006/custom-properties" xmlns:vt="http://schemas.openxmlformats.org/officeDocument/2006/docPropsVTypes"/>
</file>