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Sienna Investment Managers finance à long terme les collectivités, les établissements de santé et le logement social, et c'est cette utilité concrète du crédit qui motive ma candidature au poste de Stagiaire Analyste Crédit Secteur Public. Étudiant en Master 1 Finance à l'ESSCA, je souhaite appliquer l'analyse de crédit à un univers où la lecture des finances publiques locales et la qualité de la synthèse font toute la différence.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m'a donné des bases solides pour construire des dossiers de crédit : Fixed Income Modeling, Quantitative Risk Management, Portfolio Management et IFRS. J'ai complété ce socle par des projets personnels. En m'appuyant sur des outils d'IA, j'ai conçu une stratégie algorithmique atteignant un ratio de Sharpe de 0,91 par rapport au SPY sur dix ans de backtest, puis un système de trading sur Polymarket connecté à huit plateformes, que j'ai arrêté faute d'avantage net. Cette expérience m'a appris à documenter une thèse, à mesurer un risque et à renoncer lorsque les chiffres ne soutiennent pas la conviction, ce qui est aussi la discipline attendue d'un analyste crédit.</w:t>
      </w:r>
    </w:p>
    <w:p>
      <w:pPr>
        <w:spacing w:after="200"/>
        <w:jc w:val="both"/>
      </w:pPr>
      <w:r>
        <w:rPr>
          <w:rFonts w:ascii="Arial" w:cs="Arial" w:eastAsia="Arial" w:hAnsi="Arial"/>
          <w:sz w:val="22"/>
          <w:szCs w:val="22"/>
        </w:rPr>
        <w:t xml:space="preserve">Mon parcours est aussi commercial. Chez Mecanicus, j'ai réalisé plus de dix transactions de gré à gré comprises entre 50 000 et 500 000 euros, en gérant un stock de 3 millions d'euros. Revendeur indépendant de 2018 à 2025, j'ai généré plus de 10 000 euros de chiffre d'affaires avec une marge nette d'environ 50 %. J'y ai développé le sens du détail, de la rigueur et de la relation avec des interlocuteurs variés, utiles pour collecter l'information auprès des collectivités et participer aux échanges avec les investisseurs.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de mettre mon sérieux et ma curiosité au service de votre 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2026-10-30T10:55:38.610Z</dcterms:created>
  <dcterms:modified xsi:type="dcterms:W3CDTF">2026-10-30T10:55:38.610Z</dcterms:modified>
</cp:coreProperties>
</file>

<file path=docProps/custom.xml><?xml version="1.0" encoding="utf-8"?>
<Properties xmlns="http://schemas.openxmlformats.org/officeDocument/2006/custom-properties" xmlns:vt="http://schemas.openxmlformats.org/officeDocument/2006/docPropsVTypes"/>
</file>