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Investment Risk Analyst Intern position within the Risk Management Division of the State of Wisconsin Investment Board. Managing the assets of one of the only fully funded public pensions in the United States demands a disciplined and prudent approach to risk, and this is precisely the culture I want to learn in. The opportunity to work on investment risk reporting for the Investment Committee and on daily risk monitoring across a multi asset portfolio strongly motivates me.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Master's 1 in Finance at ESSCA and my Bloomberg Market Concepts certification have given me solid foundations in portfolio construction, fixed income and risk measurement. Using AI tools, I designed a quantitative equity strategy with regime aware risk control that achieved a Sharpe ratio of 0.91 against the SPY over a ten year backtest, which taught me to analyse drawdowns, volatility and exposures on both an ex ante and ex post basis. I also built a live trading system connected to eight exchanges with real time P&amp;L monitoring, and I shut it down once the data showed no net edge. These projects taught me to handle large financial datasets rigorously, to design clear reports and to let the numbers drive decisions, skills I would bring to building risk report templates and ad hoc risk analyses.</w:t>
      </w:r>
    </w:p>
    <w:p>
      <w:pPr>
        <w:spacing w:after="200"/>
        <w:jc w:val="both"/>
      </w:pPr>
      <w:r>
        <w:rPr>
          <w:rFonts w:ascii="Arial" w:cs="Arial" w:eastAsia="Arial" w:hAnsi="Arial"/>
          <w:sz w:val="22"/>
          <w:szCs w:val="22"/>
        </w:rPr>
        <w:t xml:space="preserve">My commercial experience reinforced the same rigour. At Mecanicus, I completed more than ten over the counter transactions between €50k and €500k and helped manage €3M of inventory, where every position had to be tracked and reconciled precisely. As an independent reseller since 2018, I generated over €10k of revenue with a net margin of around 50%, which taught me to monitor exposures, control costs and adapt quickly to changing conditions.</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delighted to contribute to the Risk Management Division in Madison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2026-10-31T11:33:00.250Z</dcterms:created>
  <dcterms:modified xsi:type="dcterms:W3CDTF">2026-10-31T11:33:00.251Z</dcterms:modified>
</cp:coreProperties>
</file>

<file path=docProps/custom.xml><?xml version="1.0" encoding="utf-8"?>
<Properties xmlns="http://schemas.openxmlformats.org/officeDocument/2006/custom-properties" xmlns:vt="http://schemas.openxmlformats.org/officeDocument/2006/docPropsVTypes"/>
</file>