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Fund Finance au sein du département Distribution &amp; Credit Solutions de la Société Générale, dans l'équipe Fund Financing Solutions, retient toute mon attention. Participer à la structuration et au suivi de financements de type Capital Call Financing pour des sponsors financiers, préparer des dossiers de comité de crédit et suivre la performance de l'activité correspond à la manière dont je souhaite entrer dans la banque de financement et d'investissement : au croisement du crédit, des marchés et des fonds.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 J'y ai appris à produire des analyses fiables, précises et livrées dans les délais, ce qui répond au sens du détail et à la rigueur que vous recherchez.</w:t>
      </w:r>
    </w:p>
    <w:p>
      <w:pPr>
        <w:spacing w:after="200"/>
        <w:jc w:val="both"/>
      </w:pPr>
      <w:r>
        <w:rPr>
          <w:rFonts w:ascii="Arial" w:cs="Arial" w:eastAsia="Arial" w:hAnsi="Arial"/>
          <w:sz w:val="22"/>
          <w:szCs w:val="22"/>
        </w:rPr>
        <w:t xml:space="preserve">Mon Master 1 Finance à l'ESSCA m'a formé à l'analyse financière, à la valorisation et à la gestion des risques. En m'appuyant sur des outils d'IA, j'ai conçu une stratégie algorithmique atteignant un ratio de Sharpe de 0,91 par rapport au SPY sur dix ans de backtest, puis un système de trading en conditions réelles sur Polymarket, avec un suivi du P&amp;L en direct. Cette habitude de modéliser, de produire des métriques fiables et de vérifier chaque résultat est directement utile pour l'analyse de nouvelles opportunités et le suivi de la performance de l'équipe. Je suis à l'aise avec Excel et PowerPoint, et je travaille couramment en anglais (TOEIC 975 sur 990).</w:t>
      </w:r>
    </w:p>
    <w:p>
      <w:pPr>
        <w:spacing w:after="200"/>
        <w:jc w:val="both"/>
      </w:pPr>
      <w:r>
        <w:rPr>
          <w:rFonts w:ascii="Arial" w:cs="Arial" w:eastAsia="Arial" w:hAnsi="Arial"/>
          <w:sz w:val="22"/>
          <w:szCs w:val="22"/>
        </w:rPr>
        <w:t xml:space="preserve">Mon parcours a aussi une forte dimension commerciale. Chez Mecanicus, j'ai participé à plus de dix transactions comprises entre 50 000 et 500 000 euros, et j'ai mené pendant plusieurs années une activité de revente indépendante ayant généré plus de 10 000 euros de chiffre d'affaires avec une marge nette proche de 50 %. Je sais donc travailler au contact de clients et préparer des propositions commerciales claires.</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Je serais heureux de vous présenter ma motivation plus en détail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2026-10-31T10:04:38.575Z</dcterms:created>
  <dcterms:modified xsi:type="dcterms:W3CDTF">2026-10-31T10:04:38.575Z</dcterms:modified>
</cp:coreProperties>
</file>

<file path=docProps/custom.xml><?xml version="1.0" encoding="utf-8"?>
<Properties xmlns="http://schemas.openxmlformats.org/officeDocument/2006/custom-properties" xmlns:vt="http://schemas.openxmlformats.org/officeDocument/2006/docPropsVTypes"/>
</file>