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six month internship in the ETD Derivatives Team (ETD operations, reference 344828BR) at UBS in Wroclaw. Following exchange traded derivatives through their whole lifecycle, from product setup to expiration, and supporting the Wealth Management Europe business with accuracy and a strong client service orientation, matches the market infrastructure experience I want to gain, and UBS is a first choice for it.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a Master 1 in Finance at ESSCA, with courses in Derivative Pricing, Quantitative Risk Management and Fixed Income Modeling, and I hold the Bloomberg Market Concepts certification. Using AI tools, I designed a quantitative equity strategy that achieved a Sharpe ratio of 0.91 against the SPY over a ten year backtest, and I built a multi exchange trading system on Polymarket with AI assistance, connected to eight exchanges with live P&amp;L tracking, which gave me a concrete view of order flow, reconciliation and settlement details. I am curious about how AI can improve workflows, and I use it with judgement, always validating its output.</w:t>
      </w:r>
    </w:p>
    <w:p>
      <w:pPr>
        <w:spacing w:after="200"/>
        <w:jc w:val="both"/>
      </w:pPr>
      <w:r>
        <w:rPr>
          <w:rFonts w:ascii="Arial" w:cs="Arial" w:eastAsia="Arial" w:hAnsi="Arial"/>
          <w:sz w:val="22"/>
          <w:szCs w:val="22"/>
        </w:rPr>
        <w:t xml:space="preserve">I also have a practical commercial background. At Mecanicus, I assisted on more than ten over the counter transactions between €50k and €500k, on a €3M inventory, where documents, payment and delivery had to be coordinated carefully. Since 2018 I have run an independent resale activity generating more than €10k of revenue at roughly 50% net margin. These experiences developed my attention to detail, my organisation and my habit of following a transaction until it is closed.</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pleased to explain my motivation in more detail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2026-10-31T10:48:14.069Z</dcterms:created>
  <dcterms:modified xsi:type="dcterms:W3CDTF">2026-10-31T10:48:14.069Z</dcterms:modified>
</cp:coreProperties>
</file>

<file path=docProps/custom.xml><?xml version="1.0" encoding="utf-8"?>
<Properties xmlns="http://schemas.openxmlformats.org/officeDocument/2006/custom-properties" xmlns:vt="http://schemas.openxmlformats.org/officeDocument/2006/docPropsVTypes"/>
</file>