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Crédit Agricole CIB à Montrouge en tant qu'Analyste Onboarding Front Office. Accompagner les opérateurs de marché dans l'entrée en relation avec les clients et les contreparties, entre KYC, enveloppes de risques et contrats juridiques, est pour moi une porte d'entrée idéale vers la finance de marché, au plus près des desks.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et ma certification Bloomberg Market Concepts complètent cette pratique. En m'appuyant sur des outils d'IA, j'ai conçu une stratégie algorithmique atteignant un ratio de Sharpe de 0,91 par rapport au SPY sur dix ans de backtest, ainsi qu'un système de trading automatisé sur Polymarket connecté à huit plateformes d'échange, que j'ai arrêté faute d'avantage net. Ces projets illustrent mon intérêt pour les marchés, ma rigueur dans les processus et ma capacité à exploiter l'IA pour structurer et améliorer des outils de suivi.</w:t>
      </w:r>
    </w:p>
    <w:p>
      <w:pPr>
        <w:spacing w:after="200"/>
        <w:jc w:val="both"/>
      </w:pPr>
      <w:r>
        <w:rPr>
          <w:rFonts w:ascii="Arial" w:cs="Arial" w:eastAsia="Arial" w:hAnsi="Arial"/>
          <w:sz w:val="22"/>
          <w:szCs w:val="22"/>
        </w:rPr>
        <w:t xml:space="preserve">Mon parcours commercial renforce ce profil. Chez Mecanicus, j'ai conduit plus de dix transactions de gré à gré de 50 000 à 500 000 euros, ce qui suppose une relation client précise et un respect strict des étapes de chaque opération. Mon activité indépendante de revente, menée depuis 2018, a généré plus de 10 000 euros de chiffre d'affaires avec une marge nette d'environ 50 pour cent. Je suis également à l'aise en anglais (TOEIC 975 sur 990) et en espagnol.</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exposer ma motivation lors d'un entretien et de contribuer à la qualité de vos processus d'onboarding.</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2026-10-31T10:41:16.919Z</dcterms:created>
  <dcterms:modified xsi:type="dcterms:W3CDTF">2026-10-31T10:41:16.919Z</dcterms:modified>
</cp:coreProperties>
</file>

<file path=docProps/custom.xml><?xml version="1.0" encoding="utf-8"?>
<Properties xmlns="http://schemas.openxmlformats.org/officeDocument/2006/custom-properties" xmlns:vt="http://schemas.openxmlformats.org/officeDocument/2006/docPropsVTypes"/>
</file>