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Safran Electronics &amp; Defense au sein de votre équipe trésorerie à Malakoff en tant qu'Analyste Trésorerie. Le suivi quotidien des positions bancaires, des flux et des prévisions de trésorerie d'un groupe international correspond exactement au type de rigueur opérationnelle et d'analyse financière que je veux développer.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et ma certification Bloomberg Market Concepts m'ont donné une base solide en marchés et en analyse financière. En m'appuyant sur des outils d'IA, j'ai conçu une stratégie algorithmique atteignant un ratio de Sharpe de 0,91 par rapport au SPY sur dix ans de backtest, puis un système de trading automatisé sur Polymarket suivant en temps réel les positions et le résultat, que j'ai arrêté faute d'avantage net. Ces projets m'ont appris à mesurer précisément une performance, à suivre des indicateurs et à analyser des écarts, des réflexes utiles pour le reporting de trésorerie.</w:t>
      </w:r>
    </w:p>
    <w:p>
      <w:pPr>
        <w:spacing w:after="200"/>
        <w:jc w:val="both"/>
      </w:pPr>
      <w:r>
        <w:rPr>
          <w:rFonts w:ascii="Arial" w:cs="Arial" w:eastAsia="Arial" w:hAnsi="Arial"/>
          <w:sz w:val="22"/>
          <w:szCs w:val="22"/>
        </w:rPr>
        <w:t xml:space="preserve">J'ai également une expérience commerciale concrète. Chez Mecanicus, j'ai conduit plus de dix transactions de gré à gré de 50 000 à 500 000 euros et suivi trois millions d'euros d'inventaire. En parallèle, mon activité indépendante de revente, menée depuis 2018, a généré plus de 10 000 euros de chiffre d'affaires avec une marge nette d'environ 50 pour cent, ce qui m'a rendu rigoureux dans la gestion des flux et du cash. Je lis et parle couramment l'anglais (TOEIC 975 sur 990) et je parle espagnol.</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contribuer concrètement aux travaux de votre équipe trésorerie.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2026-10-31T10:41:16.891Z</dcterms:created>
  <dcterms:modified xsi:type="dcterms:W3CDTF">2026-10-31T10:41:16.892Z</dcterms:modified>
</cp:coreProperties>
</file>

<file path=docProps/custom.xml><?xml version="1.0" encoding="utf-8"?>
<Properties xmlns="http://schemas.openxmlformats.org/officeDocument/2006/custom-properties" xmlns:vt="http://schemas.openxmlformats.org/officeDocument/2006/docPropsVTypes"/>
</file>