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Étudiant en Master 1 Finance à l'ESSCA, je souhaite rejoindre la Direction de la gestion d'actifs de l'AMF en tant que chargé de supervision stagiaire. Superviser les sociétés de gestion et le cycle de vie des OPCVM et des FIA, c'est se placer au cœur de la protection de l'épargne et du bon fonctionnement de la place de Paris, un rôle qui répond à mon intérêt pour la gestion d'actifs et la régulation des marchés.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et ma certification Bloomberg Market Concepts m'ont donné de solides bases en analyse financière et en fonctionnement des marchés, et je prépare la certification AMF. En m'appuyant sur des outils d'IA, j'ai conçu une stratégie algorithmique atteignant un ratio de Sharpe de 0,91 par rapport au SPY sur dix ans de backtest, ce qui m'a appris à structurer une analyse quantitative, à en contrôler les hypothèses et à en présenter les limites avec rigueur. J'ai suivi la même démarche pour un système de trading sur Polymarket, arrêté faute d'avantage net, décision qui reflète mon souci d'objectivité face aux chiffres.</w:t>
      </w:r>
    </w:p>
    <w:p>
      <w:pPr>
        <w:spacing w:after="200"/>
        <w:jc w:val="both"/>
      </w:pPr>
      <w:r>
        <w:rPr>
          <w:rFonts w:ascii="Arial" w:cs="Arial" w:eastAsia="Arial" w:hAnsi="Arial"/>
          <w:sz w:val="22"/>
          <w:szCs w:val="22"/>
        </w:rPr>
        <w:t xml:space="preserve">Mon parcours est aussi commercial. Chez Mecanicus, j'ai conclu plus de dix transactions de gré à gré entre 50 000 et 500 000 euros et suivi trois millions d'euros d'inventaire, et je gère depuis 2018 une activité de revente indépendante ayant généré plus de 10 000 euros de revenus avec une marge nette d'environ 50 %. Ces expériences m'ont donné de l'autonomie, un bon sens de la communication écrite et orale et l'habitude d'échanger avec des interlocuteurs exigeants, qualités utiles pour dialoguer avec les sociétés de gestion.</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heureux de vous présenter ma motivation lors d'un entretien et de contribuer concrètement aux travaux de la Direction de la gestion d'actifs.</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2026-10-31T08:36:15.984Z</dcterms:created>
  <dcterms:modified xsi:type="dcterms:W3CDTF">2026-10-31T08:36:15.985Z</dcterms:modified>
</cp:coreProperties>
</file>

<file path=docProps/custom.xml><?xml version="1.0" encoding="utf-8"?>
<Properties xmlns="http://schemas.openxmlformats.org/officeDocument/2006/custom-properties" xmlns:vt="http://schemas.openxmlformats.org/officeDocument/2006/docPropsVTypes"/>
</file>