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effectuer mon stage au sein de l'AMF, à la Direction en charge de la supervision des infrastructures de marché. Analyser les projets des chambres de compensation et des dépositaires centraux, et participer aux collèges de superviseurs internationaux, représente pour moi une manière unique de comprendre de l'intérieur la mécanique et la solidité des marchés financiers, ce qui motive pleinement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et ma certification Bloomberg Market Concepts m'ont donné de solides bases sur le fonctionnement des marchés, et je prépare la certification AMF. En m'appuyant sur des outils d'IA, j'ai conçu une stratégie algorithmique atteignant un ratio de Sharpe de 0,91 par rapport au SPY sur dix ans de backtest, puis un système de trading sur Polymarket connecté à huit plateformes d'échange, arrêté faute d'avantage net. Ces projets m'ont confronté concrètement à l'exécution, au risque de contrepartie et aux contraintes de la microstructure de marché, et m'ont appris à synthétiser une analyse de façon claire.</w:t>
      </w:r>
    </w:p>
    <w:p>
      <w:pPr>
        <w:spacing w:after="200"/>
        <w:jc w:val="both"/>
      </w:pPr>
      <w:r>
        <w:rPr>
          <w:rFonts w:ascii="Arial" w:cs="Arial" w:eastAsia="Arial" w:hAnsi="Arial"/>
          <w:sz w:val="22"/>
          <w:szCs w:val="22"/>
        </w:rPr>
        <w:t xml:space="preserve">Mon parcours est aussi commercial. Chez Mecanicus, j'ai conclu plus de dix transactions de gré à gré entre 50 000 et 500 000 euros, et je gère depuis 2018 une activité de revente indépendante ayant généré plus de 10 000 euros de revenus avec une marge nette d'environ 50 %. Parfaitement à l'aise en anglais à l'écrit comme à l'oral (TOEIC 975 sur 990), je suis habitué à échanger avec des interlocuteurs variés, ce qui sera utile pour les échanges avec les autres autorités.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exposer ma motivation lors d'un entretien et de contribuer aux travaux de votre 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2026-10-31T08:36:16.062Z</dcterms:created>
  <dcterms:modified xsi:type="dcterms:W3CDTF">2026-10-31T08:36:16.062Z</dcterms:modified>
</cp:coreProperties>
</file>

<file path=docProps/custom.xml><?xml version="1.0" encoding="utf-8"?>
<Properties xmlns="http://schemas.openxmlformats.org/officeDocument/2006/custom-properties" xmlns:vt="http://schemas.openxmlformats.org/officeDocument/2006/docPropsVTypes"/>
</file>