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Étudiant en Master 1 Finance à l'ESSCA, je souhaite rejoindre l'équipe Trésorerie Groupe de Babilou en tant que stagiaire. Le suivi quotidien des positions de trésorerie, des prévisions multi pays et des projets de transformation comme la migration ISO 20022 me permettrait de mettre en pratique ma formation tout en contribuant à un groupe dont la mission éducative me parle particulièrement.</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Cette expérience, ma formation à l'ESSCA et ma certification Bloomberg Market Concepts m'ont donné de solides bases en analyse financière et en suivi des flux. En m'appuyant sur des outils d'IA, j'ai conçu une stratégie algorithmique atteignant un ratio de Sharpe de 0,91 par rapport au SPY sur dix ans de backtest, et un système de trading connecté à huit plateformes d'échange avec suivi du résultat en temps réel, arrêté faute d'avantage net. Ces projets m'ont appris la rigueur dans le suivi des chiffres, l'analyse des écarts entre prévu et réalisé et l'usage d'outils pour fiabiliser un processus.</w:t>
      </w:r>
    </w:p>
    <w:p>
      <w:pPr>
        <w:spacing w:after="200"/>
        <w:jc w:val="both"/>
      </w:pPr>
      <w:r>
        <w:rPr>
          <w:rFonts w:ascii="Arial" w:cs="Arial" w:eastAsia="Arial" w:hAnsi="Arial"/>
          <w:sz w:val="22"/>
          <w:szCs w:val="22"/>
        </w:rPr>
        <w:t xml:space="preserve">Mon parcours est aussi entrepreneurial. Chez Mecanicus, j'ai conclu plus de dix transactions de gré à gré entre 50 000 et 500 000 euros et suivi trois millions d'euros d'inventaire, et je gère depuis 2018 une activité de revente indépendante ayant généré plus de 10 000 euros de revenus avec une marge nette d'environ 50 %. J'y ai développé le sens de l'initiative, l'adaptabilité et le contact avec des interlocuteurs variés, qualités essentielles dans une équipe trésorerie en lien avec les banques et la comptabilité.</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d'échanger avec vous lors d'un entretien pour vous présenter ma motivation.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2026-10-31T08:36:16.096Z</dcterms:created>
  <dcterms:modified xsi:type="dcterms:W3CDTF">2026-10-31T08:36:16.096Z</dcterms:modified>
</cp:coreProperties>
</file>

<file path=docProps/custom.xml><?xml version="1.0" encoding="utf-8"?>
<Properties xmlns="http://schemas.openxmlformats.org/officeDocument/2006/custom-properties" xmlns:vt="http://schemas.openxmlformats.org/officeDocument/2006/docPropsVTypes"/>
</file>