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Crédit Agricole CIB est une référence en structuration de produits de taux et de solutions dérivées, et je souhaite vivement rejoindre l'équipe Structuration et Marketing en tant qu'Assistant Fixed Income Structurer. Mon intérêt pour la finance de marché, et pour la conception de solutions sur mesure à destination des clients, me pousse à candidater à ce stage à Montrouge.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Étudiant en Master 1 Finance à l'ESSCA, j'ai obtenu la certification Bloomberg Market Concepts, un score de 975 sur 990 au TOEIC et je prépare la certification AMF pour décembre 2026. En m'appuyant sur des outils d'IA, j'ai conçu une stratégie algorithmique atteignant un ratio de Sharpe de 0,91 par rapport au SPY sur dix ans de backtest, et j'ai construit un système de trading sur Polymarket relié à huit places de marché avec suivi du résultat en temps réel, arrêté faute d'avantage net. Ces projets illustrent mon goût pour les outils de backtesting, les rapports de performance et de risque, et ma capacité à exploiter l'IA pour automatiser et fiabiliser une analyse quantitative.</w:t>
      </w:r>
    </w:p>
    <w:p>
      <w:pPr>
        <w:spacing w:after="200"/>
        <w:jc w:val="both"/>
      </w:pPr>
      <w:r>
        <w:rPr>
          <w:rFonts w:ascii="Arial" w:cs="Arial" w:eastAsia="Arial" w:hAnsi="Arial"/>
          <w:sz w:val="22"/>
          <w:szCs w:val="22"/>
        </w:rPr>
        <w:t xml:space="preserve">Mon parcours est également commercial. Chez Mecanicus, j'ai assisté la conclusion de plus de dix transactions de gré à gré comprises entre 50 000 et 500 000 euros, et depuis 2018 j'exerce une activité de revente indépendante ayant dépassé 10 000 euros de chiffre d'affaires avec une marge nette d'environ 50 pour cent. Cette expérience du contact client et de la négociation me prépare à accompagner les équipes de vente avec des solutions adaptées.</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ravi de pouvoir échanger avec vous lors d'un entretien et de vous démontrer ma motivation pour rejoindre vos équipes.</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2026-10-31T10:04:20.163Z</dcterms:created>
  <dcterms:modified xsi:type="dcterms:W3CDTF">2026-10-31T10:04:20.163Z</dcterms:modified>
</cp:coreProperties>
</file>

<file path=docProps/custom.xml><?xml version="1.0" encoding="utf-8"?>
<Properties xmlns="http://schemas.openxmlformats.org/officeDocument/2006/custom-properties" xmlns:vt="http://schemas.openxmlformats.org/officeDocument/2006/docPropsVTypes"/>
</file>