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ENGIE occupe une place centrale dans la transition énergétique, et la perspective de rejoindre l'équipe Portfolio de Supply &amp; Energy Management comme Quantitative Energy Portfolio Analyst me motive fortement. Modéliser le marché infrajournalier et mesurer la valeur des actifs flexibles comme les batteries associe les marchés de l'énergie, la gestion du risque et la quantification, trois sujets qui structurent mon projet professionnel.</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je suis certifié Bloomberg Market Concepts et j'ai obtenu 975 sur 990 au TOEIC, ce qui me permet de travailler en anglais professionnel. En m'appuyant sur des outils d'IA, j'ai conçu une stratégie algorithmique atteignant un ratio de Sharpe de 0,91 par rapport au SPY sur dix ans de backtest, avec un contrôle du risque adapté aux régimes de marché. J'ai également conçu un système de trading sur Polymarket reliant huit places de marché avec suivi du résultat en temps réel, arrêté lorsque l'analyse a montré l'absence d'avantage net. Je ne suis pas développeur de formation : j'utilise l'IA comme un outil de recherche pour construire, tester et itérer sur des modèles, en gardant l'exigence statistique et l'esprit critique d'un analyste.</w:t>
      </w:r>
    </w:p>
    <w:p>
      <w:pPr>
        <w:spacing w:after="200"/>
        <w:jc w:val="both"/>
      </w:pPr>
      <w:r>
        <w:rPr>
          <w:rFonts w:ascii="Arial" w:cs="Arial" w:eastAsia="Arial" w:hAnsi="Arial"/>
          <w:sz w:val="22"/>
          <w:szCs w:val="22"/>
        </w:rPr>
        <w:t xml:space="preserve">Mon parcours est aussi commercial et entrepreneurial. Chez Mecanicus, j'ai participé à plus de dix transactions de gré à gré entre 50 000 et 500 000 euros, et j'ai développé depuis 2018 une activité de revente indépendante dépassant 10 000 euros de chiffre d'affaires pour une marge nette d'environ 50 pour cent. Ces expériences m'ont appris à évaluer un prix, à gérer un risque de stock et à décider avec des données imparfaites.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d'échanger avec vous lors d'un entretien afin de vous exposer ma motivation pour ce stage au sein d'ENGIE.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2026-10-31T10:04:20.141Z</dcterms:created>
  <dcterms:modified xsi:type="dcterms:W3CDTF">2026-10-31T10:04:20.141Z</dcterms:modified>
</cp:coreProperties>
</file>

<file path=docProps/custom.xml><?xml version="1.0" encoding="utf-8"?>
<Properties xmlns="http://schemas.openxmlformats.org/officeDocument/2006/custom-properties" xmlns:vt="http://schemas.openxmlformats.org/officeDocument/2006/docPropsVTypes"/>
</file>