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Paprec est un acteur majeur du recyclage et de la valorisation des déchets, dont la croissance s'appuie notamment sur des opérations d'acquisition. Je souhaite vivement mettre mes compétences au service de votre équipe Fusions Acquisitions à Paris, en préparant des analyses de valorisation, des notes de synthèse pour la Direction Générale et le suivi des due diligences.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Étudiant en Master 1 Finance à l'ESSCA, je suis certifié Bloomberg Market Concepts et j'ai obtenu 975 sur 990 au TOEIC, ce qui me permet de travailler en anglais, langue indispensable pour ce poste. En m'appuyant sur des outils d'IA, j'ai conçu une stratégie algorithmique atteignant un ratio de Sharpe de 0,91 par rapport au SPY sur dix ans de backtest, et j'ai construit un système de trading sur Polymarket arrêté faute d'avantage net. Ces projets m'ont appris à modéliser, à formuler des hypothèses et à lire des chiffres avec esprit critique, tout en m'appuyant sur l'IA pour gagner en efficacité. Je maîtrise Excel et PowerPoint dans mon activité quotidienne.</w:t>
      </w:r>
    </w:p>
    <w:p>
      <w:pPr>
        <w:spacing w:after="200"/>
        <w:jc w:val="both"/>
      </w:pPr>
      <w:r>
        <w:rPr>
          <w:rFonts w:ascii="Arial" w:cs="Arial" w:eastAsia="Arial" w:hAnsi="Arial"/>
          <w:sz w:val="22"/>
          <w:szCs w:val="22"/>
        </w:rPr>
        <w:t xml:space="preserve">Mon parcours est aussi entrepreneurial. Chez Mecanicus, j'ai assisté plus de dix transactions de gré à gré comprises entre 50 000 et 500 000 euros, ce qui m'a familiarisé avec la négociation et la valeur d'un actif. J'ai par ailleurs développé depuis 2018 une activité de revente indépendante ayant généré plus de 10 000 euros de chiffre d'affaires avec une marge nette d'environ 50 pour cent. Je possède également des bases en espagnol, niveau B2.</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rencontrer lors d'un entretien pour vous présenter ma motivation et ma contribution possible à vos projets de croissance externe.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2026-10-31T10:04:20.193Z</dcterms:created>
  <dcterms:modified xsi:type="dcterms:W3CDTF">2026-10-31T10:04:20.194Z</dcterms:modified>
</cp:coreProperties>
</file>

<file path=docProps/custom.xml><?xml version="1.0" encoding="utf-8"?>
<Properties xmlns="http://schemas.openxmlformats.org/officeDocument/2006/custom-properties" xmlns:vt="http://schemas.openxmlformats.org/officeDocument/2006/docPropsVTypes"/>
</file>