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Summer Analyst programme in FICC and Equities Sales and Trading Quantitative Strats at Goldman Sachs in Singapore. Building quantitative models to support trading across global markets is exactly the intersection of markets and analytics I want to work in, and Goldman Sachs offers the scale, the desk exposure and the standards that make this possible.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a Master 1 in Finance at ESSCA and hold the Bloomberg Market Concepts certification. Using AI tools, I designed a quantitative equity strategy that achieved a Sharpe ratio of 0.91 against the SPY over a ten year backtest, with a crisis driven allocation logic. I also built a multi exchange trading system on Polymarket with AI assistance, connected to eight exchanges with live P&amp;L tracking, and chose to shut it down when it showed no net edge. This taught me to test a model rigorously, to read its limits and to act on the evidence rather than defend an idea.</w:t>
      </w:r>
    </w:p>
    <w:p>
      <w:pPr>
        <w:spacing w:after="200"/>
        <w:jc w:val="both"/>
      </w:pPr>
      <w:r>
        <w:rPr>
          <w:rFonts w:ascii="Arial" w:cs="Arial" w:eastAsia="Arial" w:hAnsi="Arial"/>
          <w:sz w:val="22"/>
          <w:szCs w:val="22"/>
        </w:rPr>
        <w:t xml:space="preserve">Before finance, I built a commercial track of my own. At Mecanicus, I assisted on more than ten over the counter transactions between €50k and €500k, on a €3M inventory. Since 2018 I have run an independent resale activity generating more than €10k of revenue at roughly 50% net margin. These experiences gave me pricing instinct, negotiation habits and comfort taking risk with my own capital, which I see as directly useful when working beside traders and sales.</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glad to discuss how I can contribute to the Quantitative Strats team during the summer programme and would welcome the chance to meet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2026-10-31T10:38:39.178Z</dcterms:created>
  <dcterms:modified xsi:type="dcterms:W3CDTF">2026-10-31T10:38:39.178Z</dcterms:modified>
</cp:coreProperties>
</file>

<file path=docProps/custom.xml><?xml version="1.0" encoding="utf-8"?>
<Properties xmlns="http://schemas.openxmlformats.org/officeDocument/2006/custom-properties" xmlns:vt="http://schemas.openxmlformats.org/officeDocument/2006/docPropsVTypes"/>
</file>