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stage Assistant Gestion Multi Asset au sein de l'équipe Épargne Salariale et Retraite d'Amundi correspond exactement à ce que je recherche : un poste où la construction d'allocations, l'analyse de marché et les outils d'aide à la décision se rejoignent. Participer à la conception des grilles d'allocation PER et à la gestion des portefeuilles modèles ISR, au sein d'une plateforme de solutions retraite adossée au Groupe Crédit Agricole S.A., est l'environnement dans lequel je souhaite me former à la gestion d'actifs.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cours de Portfolio Management, Fixed Income Modeling, Quantitative Risk Management et Derivative Pricing, m'a donné les bases pour aborder l'allocation d'actifs. En m'appuyant sur des outils d'IA, j'ai conçu une stratégie algorithmique atteignant un ratio de Sharpe de 0,91 par rapport au SPY sur dix ans de backtest, puis un système de trading sur Polymarket connecté à huit plateformes, que j'ai arrêté faute d'avantage net. Ces projets m'ont appris à structurer une démarche d'investissement, à mesurer la performance et à utiliser l'IA comme outil de recherche, ce qui rejoint votre volonté de développer des outils et des agents d'IA pour la gestion. Je suis certifié Bloomberg Market Concepts et j'ai obtenu 975 sur 990 au TOEIC.</w:t>
      </w:r>
    </w:p>
    <w:p>
      <w:pPr>
        <w:spacing w:after="200"/>
        <w:jc w:val="both"/>
      </w:pPr>
      <w:r>
        <w:rPr>
          <w:rFonts w:ascii="Arial" w:cs="Arial" w:eastAsia="Arial" w:hAnsi="Arial"/>
          <w:sz w:val="22"/>
          <w:szCs w:val="22"/>
        </w:rPr>
        <w:t xml:space="preserve">Mon parcours commercial complète ce profil. Chez Mecanicus, j'ai conclu plus de dix ventes de gré à gré comprises entre 50 000 et 500 000 euros et suivi un stock de 3 millions d'euros, ce qui m'a formé à la rigueur et à la relation client. Depuis 2018, mon activité indépendante de revente a généré plus de 10 000 euros de chiffre d'affaires avec environ 50 % de marge nette. Ces expériences nourrissent mon goût pour le suivi de reporting, la préparation de comités et la réponse aux appels d'offres que comporte le poste.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ce stage me permettrait de contribuer rapidement tout en progressant auprès de vos gérants, je serais heureux de vous exposer ma motivation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2026-10-30T08:26:13.542Z</dcterms:created>
  <dcterms:modified xsi:type="dcterms:W3CDTF">2026-10-30T08:26:13.542Z</dcterms:modified>
</cp:coreProperties>
</file>

<file path=docProps/custom.xml><?xml version="1.0" encoding="utf-8"?>
<Properties xmlns="http://schemas.openxmlformats.org/officeDocument/2006/custom-properties" xmlns:vt="http://schemas.openxmlformats.org/officeDocument/2006/docPropsVTypes"/>
</file>